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A930E" w14:textId="77777777" w:rsidR="006A527D" w:rsidRPr="006A527D" w:rsidRDefault="006A527D" w:rsidP="00430755">
      <w:pPr>
        <w:jc w:val="center"/>
        <w:rPr>
          <w:sz w:val="32"/>
          <w:szCs w:val="32"/>
          <w:u w:val="single"/>
        </w:rPr>
      </w:pPr>
      <w:r w:rsidRPr="006A527D">
        <w:rPr>
          <w:sz w:val="32"/>
          <w:szCs w:val="32"/>
          <w:u w:val="single"/>
        </w:rPr>
        <w:t>The Consequences of Unregulated Charter Schools:</w:t>
      </w:r>
    </w:p>
    <w:p w14:paraId="2A094AB0" w14:textId="51243961" w:rsidR="00EE2565" w:rsidRPr="00EF6C93" w:rsidRDefault="00430755" w:rsidP="00430755">
      <w:pPr>
        <w:jc w:val="center"/>
        <w:rPr>
          <w:sz w:val="28"/>
          <w:szCs w:val="28"/>
        </w:rPr>
      </w:pPr>
      <w:r>
        <w:rPr>
          <w:sz w:val="28"/>
          <w:szCs w:val="28"/>
        </w:rPr>
        <w:t xml:space="preserve">Multi-National Charter Based in India </w:t>
      </w:r>
      <w:r w:rsidR="00F24F3C">
        <w:rPr>
          <w:sz w:val="28"/>
          <w:szCs w:val="28"/>
        </w:rPr>
        <w:t>Collects</w:t>
      </w:r>
      <w:r>
        <w:rPr>
          <w:sz w:val="28"/>
          <w:szCs w:val="28"/>
        </w:rPr>
        <w:t xml:space="preserve"> as Much in P</w:t>
      </w:r>
      <w:r w:rsidR="00D6360D" w:rsidRPr="00EF6C93">
        <w:rPr>
          <w:sz w:val="28"/>
          <w:szCs w:val="28"/>
        </w:rPr>
        <w:t>ro</w:t>
      </w:r>
      <w:r w:rsidR="003D3921">
        <w:rPr>
          <w:sz w:val="28"/>
          <w:szCs w:val="28"/>
        </w:rPr>
        <w:t>fit as They Spend</w:t>
      </w:r>
      <w:r>
        <w:rPr>
          <w:sz w:val="28"/>
          <w:szCs w:val="28"/>
        </w:rPr>
        <w:t xml:space="preserve"> Operating F</w:t>
      </w:r>
      <w:r w:rsidR="00EF6C93">
        <w:rPr>
          <w:sz w:val="28"/>
          <w:szCs w:val="28"/>
        </w:rPr>
        <w:t>our</w:t>
      </w:r>
      <w:r>
        <w:rPr>
          <w:sz w:val="28"/>
          <w:szCs w:val="28"/>
        </w:rPr>
        <w:t xml:space="preserve"> Arizona Charter S</w:t>
      </w:r>
      <w:r w:rsidR="00D6360D" w:rsidRPr="00EF6C93">
        <w:rPr>
          <w:sz w:val="28"/>
          <w:szCs w:val="28"/>
        </w:rPr>
        <w:t>chools</w:t>
      </w:r>
    </w:p>
    <w:p w14:paraId="4182FD35" w14:textId="77777777" w:rsidR="00D6360D" w:rsidRDefault="00D6360D" w:rsidP="00430755">
      <w:pPr>
        <w:jc w:val="center"/>
      </w:pPr>
    </w:p>
    <w:p w14:paraId="5938A7BB" w14:textId="02F7BDE0" w:rsidR="00D6360D" w:rsidRDefault="00D6360D" w:rsidP="00430755">
      <w:pPr>
        <w:jc w:val="center"/>
        <w:rPr>
          <w:i/>
        </w:rPr>
      </w:pPr>
      <w:r w:rsidRPr="00EF6C93">
        <w:rPr>
          <w:i/>
        </w:rPr>
        <w:t>Pinnacl</w:t>
      </w:r>
      <w:r w:rsidR="003D3921">
        <w:rPr>
          <w:i/>
        </w:rPr>
        <w:t xml:space="preserve">e </w:t>
      </w:r>
      <w:r w:rsidR="00727266">
        <w:rPr>
          <w:i/>
        </w:rPr>
        <w:t xml:space="preserve">Education MGRM made </w:t>
      </w:r>
      <w:r w:rsidR="003D3921">
        <w:rPr>
          <w:i/>
        </w:rPr>
        <w:t xml:space="preserve"> $3</w:t>
      </w:r>
      <w:r w:rsidR="00F24F3C">
        <w:rPr>
          <w:i/>
        </w:rPr>
        <w:t>.5</w:t>
      </w:r>
      <w:r w:rsidR="003D3921">
        <w:rPr>
          <w:i/>
        </w:rPr>
        <w:t xml:space="preserve"> million profit</w:t>
      </w:r>
      <w:r w:rsidRPr="00EF6C93">
        <w:rPr>
          <w:i/>
        </w:rPr>
        <w:t xml:space="preserve"> </w:t>
      </w:r>
      <w:r w:rsidR="00430755">
        <w:rPr>
          <w:i/>
        </w:rPr>
        <w:t>from</w:t>
      </w:r>
      <w:r w:rsidR="00EF6C93">
        <w:rPr>
          <w:i/>
        </w:rPr>
        <w:t xml:space="preserve"> $6</w:t>
      </w:r>
      <w:r w:rsidR="00F24F3C">
        <w:rPr>
          <w:i/>
        </w:rPr>
        <w:t>.9</w:t>
      </w:r>
      <w:r w:rsidR="00EF6C93">
        <w:rPr>
          <w:i/>
        </w:rPr>
        <w:t xml:space="preserve"> million in tax </w:t>
      </w:r>
      <w:r w:rsidR="006A527D">
        <w:rPr>
          <w:i/>
        </w:rPr>
        <w:t xml:space="preserve">revenues </w:t>
      </w:r>
      <w:r w:rsidR="006A527D" w:rsidRPr="00EF6C93">
        <w:rPr>
          <w:i/>
        </w:rPr>
        <w:t>in</w:t>
      </w:r>
      <w:r w:rsidR="00CE2697">
        <w:rPr>
          <w:i/>
        </w:rPr>
        <w:t xml:space="preserve"> 2016 – with only 620 students</w:t>
      </w:r>
    </w:p>
    <w:p w14:paraId="04A2A189" w14:textId="77777777" w:rsidR="00727266" w:rsidRDefault="00727266" w:rsidP="00430755">
      <w:pPr>
        <w:jc w:val="center"/>
        <w:rPr>
          <w:i/>
        </w:rPr>
      </w:pPr>
    </w:p>
    <w:p w14:paraId="6E1BB3E6" w14:textId="76ABBBAD" w:rsidR="00727266" w:rsidRDefault="00727266" w:rsidP="00430755">
      <w:pPr>
        <w:jc w:val="center"/>
      </w:pPr>
      <w:r>
        <w:t>Jim Hall</w:t>
      </w:r>
    </w:p>
    <w:p w14:paraId="37D1620F" w14:textId="3B0647E1" w:rsidR="00727266" w:rsidRDefault="00727266" w:rsidP="00430755">
      <w:pPr>
        <w:jc w:val="center"/>
      </w:pPr>
      <w:r>
        <w:t>Arizonans for Charter School Accountability</w:t>
      </w:r>
    </w:p>
    <w:p w14:paraId="354BE112" w14:textId="7B00627E" w:rsidR="00727266" w:rsidRPr="00727266" w:rsidRDefault="00727266" w:rsidP="00430755">
      <w:pPr>
        <w:jc w:val="center"/>
      </w:pPr>
      <w:r>
        <w:t>March 6, 2017</w:t>
      </w:r>
    </w:p>
    <w:p w14:paraId="6D8783BA" w14:textId="77777777" w:rsidR="00EF6C93" w:rsidRDefault="00EF6C93">
      <w:pPr>
        <w:rPr>
          <w:i/>
        </w:rPr>
      </w:pPr>
    </w:p>
    <w:p w14:paraId="02D56BC3" w14:textId="1F16261D" w:rsidR="004670FC" w:rsidRDefault="00343D55">
      <w:r>
        <w:t xml:space="preserve">Pinnacle </w:t>
      </w:r>
      <w:r w:rsidR="00727266">
        <w:t xml:space="preserve">Education </w:t>
      </w:r>
      <w:r>
        <w:t xml:space="preserve">MGRM is a </w:t>
      </w:r>
      <w:r w:rsidR="003D3921">
        <w:t xml:space="preserve">wholly owned subsidiary </w:t>
      </w:r>
      <w:r>
        <w:t>of the</w:t>
      </w:r>
      <w:r w:rsidR="00EF6C93">
        <w:t xml:space="preserve"> multi-national software corporatio</w:t>
      </w:r>
      <w:r w:rsidR="004D2049">
        <w:t>n</w:t>
      </w:r>
      <w:r>
        <w:t xml:space="preserve"> WGRM</w:t>
      </w:r>
      <w:r w:rsidR="004D2049">
        <w:t xml:space="preserve"> based in India </w:t>
      </w:r>
      <w:r w:rsidR="00727266">
        <w:t xml:space="preserve">and </w:t>
      </w:r>
      <w:r w:rsidR="004D2049">
        <w:t xml:space="preserve">owned by </w:t>
      </w:r>
      <w:r>
        <w:t xml:space="preserve">KVR Murthy.  Pinnacle </w:t>
      </w:r>
      <w:r w:rsidR="00727266">
        <w:t xml:space="preserve">Education </w:t>
      </w:r>
      <w:r w:rsidR="00EF6C93">
        <w:t xml:space="preserve">made </w:t>
      </w:r>
      <w:r w:rsidR="004D2049">
        <w:t xml:space="preserve">over </w:t>
      </w:r>
      <w:r w:rsidR="00EF6C93">
        <w:t>$</w:t>
      </w:r>
      <w:r w:rsidR="001D64A0">
        <w:t>3.4 million</w:t>
      </w:r>
      <w:r w:rsidR="004670FC">
        <w:t xml:space="preserve"> </w:t>
      </w:r>
      <w:r w:rsidR="004D2049">
        <w:t xml:space="preserve">in profit last year owning and operating </w:t>
      </w:r>
      <w:r w:rsidR="00EF6C93">
        <w:t>four cha</w:t>
      </w:r>
      <w:r w:rsidR="003D3921">
        <w:t xml:space="preserve">rter schools in Arizona </w:t>
      </w:r>
      <w:r w:rsidR="004D2049">
        <w:t xml:space="preserve">with a total enrollment of 620 students. </w:t>
      </w:r>
      <w:r w:rsidR="00EF6C93">
        <w:t xml:space="preserve"> One hundred percent of these profits came from the Arizona general fund.</w:t>
      </w:r>
      <w:r w:rsidR="00A05BF4">
        <w:t xml:space="preserve"> </w:t>
      </w:r>
      <w:r w:rsidR="004670FC">
        <w:t xml:space="preserve">Table 1 below </w:t>
      </w:r>
      <w:r w:rsidR="004D2049">
        <w:t>shows</w:t>
      </w:r>
      <w:r w:rsidR="004670FC">
        <w:t xml:space="preserve"> the expenditures </w:t>
      </w:r>
      <w:r w:rsidR="003D3921">
        <w:t>in</w:t>
      </w:r>
      <w:r w:rsidR="004670FC">
        <w:t xml:space="preserve"> 2016 </w:t>
      </w:r>
      <w:r w:rsidR="003D3921">
        <w:t xml:space="preserve">for </w:t>
      </w:r>
      <w:r w:rsidR="004670FC">
        <w:t xml:space="preserve">the 4 Pinnacle </w:t>
      </w:r>
      <w:r w:rsidR="004D2049">
        <w:t xml:space="preserve">MGRM </w:t>
      </w:r>
      <w:r w:rsidR="004670FC">
        <w:t>schools:</w:t>
      </w:r>
    </w:p>
    <w:p w14:paraId="5EF10DE7" w14:textId="77777777" w:rsidR="00DE2688" w:rsidRDefault="00DE2688"/>
    <w:p w14:paraId="460D86F5" w14:textId="15D726FD" w:rsidR="00740DFE" w:rsidRPr="00343D55" w:rsidRDefault="00DE2688">
      <w:pPr>
        <w:rPr>
          <w:sz w:val="22"/>
          <w:szCs w:val="22"/>
        </w:rPr>
      </w:pPr>
      <w:r w:rsidRPr="00DE2688">
        <w:rPr>
          <w:sz w:val="22"/>
          <w:szCs w:val="22"/>
        </w:rPr>
        <w:t>Table 1 Pinnacl</w:t>
      </w:r>
      <w:r w:rsidR="00CE2697">
        <w:rPr>
          <w:sz w:val="22"/>
          <w:szCs w:val="22"/>
        </w:rPr>
        <w:t>e MGRM Annual Financial Report maintenance and o</w:t>
      </w:r>
      <w:r w:rsidRPr="00DE2688">
        <w:rPr>
          <w:sz w:val="22"/>
          <w:szCs w:val="22"/>
        </w:rPr>
        <w:t xml:space="preserve">perations expenditures </w:t>
      </w:r>
      <w:r w:rsidR="001D64A0">
        <w:rPr>
          <w:sz w:val="22"/>
          <w:szCs w:val="22"/>
        </w:rPr>
        <w:t xml:space="preserve">(page </w:t>
      </w:r>
      <w:proofErr w:type="gramStart"/>
      <w:r w:rsidR="001D64A0">
        <w:rPr>
          <w:sz w:val="22"/>
          <w:szCs w:val="22"/>
        </w:rPr>
        <w:t>2)</w:t>
      </w:r>
      <w:r w:rsidRPr="00DE2688">
        <w:rPr>
          <w:sz w:val="22"/>
          <w:szCs w:val="22"/>
        </w:rPr>
        <w:t>and</w:t>
      </w:r>
      <w:proofErr w:type="gramEnd"/>
      <w:r w:rsidRPr="00DE2688">
        <w:rPr>
          <w:sz w:val="22"/>
          <w:szCs w:val="22"/>
        </w:rPr>
        <w:t xml:space="preserve"> revenue </w:t>
      </w:r>
      <w:r w:rsidR="001D64A0">
        <w:rPr>
          <w:sz w:val="22"/>
          <w:szCs w:val="22"/>
        </w:rPr>
        <w:t xml:space="preserve"> (page 1) </w:t>
      </w:r>
      <w:r w:rsidRPr="00DE2688">
        <w:rPr>
          <w:sz w:val="22"/>
          <w:szCs w:val="22"/>
        </w:rPr>
        <w:t>2016</w:t>
      </w:r>
    </w:p>
    <w:tbl>
      <w:tblPr>
        <w:tblW w:w="10008" w:type="dxa"/>
        <w:tblInd w:w="93" w:type="dxa"/>
        <w:tblLook w:val="04A0" w:firstRow="1" w:lastRow="0" w:firstColumn="1" w:lastColumn="0" w:noHBand="0" w:noVBand="1"/>
      </w:tblPr>
      <w:tblGrid>
        <w:gridCol w:w="4460"/>
        <w:gridCol w:w="1165"/>
        <w:gridCol w:w="1245"/>
        <w:gridCol w:w="1059"/>
        <w:gridCol w:w="1027"/>
        <w:gridCol w:w="1052"/>
      </w:tblGrid>
      <w:tr w:rsidR="005759A2" w:rsidRPr="005759A2" w14:paraId="3389EE47" w14:textId="77777777" w:rsidTr="005759A2">
        <w:trPr>
          <w:trHeight w:val="1220"/>
        </w:trPr>
        <w:tc>
          <w:tcPr>
            <w:tcW w:w="4460" w:type="dxa"/>
            <w:tcBorders>
              <w:top w:val="single" w:sz="4" w:space="0" w:color="auto"/>
              <w:left w:val="single" w:sz="4" w:space="0" w:color="auto"/>
              <w:bottom w:val="single" w:sz="4" w:space="0" w:color="auto"/>
              <w:right w:val="single" w:sz="4" w:space="0" w:color="auto"/>
            </w:tcBorders>
            <w:shd w:val="clear" w:color="4F81BD" w:fill="4F81BD"/>
            <w:vAlign w:val="bottom"/>
            <w:hideMark/>
          </w:tcPr>
          <w:p w14:paraId="01ECDC5B" w14:textId="77777777" w:rsidR="005759A2" w:rsidRPr="005759A2" w:rsidRDefault="005759A2" w:rsidP="005759A2">
            <w:pPr>
              <w:rPr>
                <w:rFonts w:ascii="Calibri" w:eastAsia="Times New Roman" w:hAnsi="Calibri" w:cs="Times New Roman"/>
                <w:b/>
                <w:bCs/>
                <w:color w:val="FFFFFF"/>
                <w:sz w:val="18"/>
                <w:szCs w:val="18"/>
              </w:rPr>
            </w:pPr>
            <w:r w:rsidRPr="005759A2">
              <w:rPr>
                <w:rFonts w:ascii="Calibri" w:eastAsia="Times New Roman" w:hAnsi="Calibri" w:cs="Times New Roman"/>
                <w:b/>
                <w:bCs/>
                <w:color w:val="FFFFFF"/>
                <w:sz w:val="18"/>
                <w:szCs w:val="18"/>
              </w:rPr>
              <w:t>Column1</w:t>
            </w:r>
          </w:p>
        </w:tc>
        <w:tc>
          <w:tcPr>
            <w:tcW w:w="1165" w:type="dxa"/>
            <w:tcBorders>
              <w:top w:val="single" w:sz="4" w:space="0" w:color="auto"/>
              <w:left w:val="single" w:sz="4" w:space="0" w:color="auto"/>
              <w:bottom w:val="single" w:sz="4" w:space="0" w:color="auto"/>
              <w:right w:val="single" w:sz="4" w:space="0" w:color="auto"/>
            </w:tcBorders>
            <w:shd w:val="clear" w:color="4F81BD" w:fill="4F81BD"/>
            <w:vAlign w:val="bottom"/>
            <w:hideMark/>
          </w:tcPr>
          <w:p w14:paraId="76CE3DBC" w14:textId="77777777" w:rsidR="005759A2" w:rsidRPr="005759A2" w:rsidRDefault="005759A2" w:rsidP="005759A2">
            <w:pPr>
              <w:rPr>
                <w:rFonts w:ascii="Calibri" w:eastAsia="Times New Roman" w:hAnsi="Calibri" w:cs="Times New Roman"/>
                <w:b/>
                <w:bCs/>
                <w:color w:val="FFFFFF"/>
                <w:sz w:val="18"/>
                <w:szCs w:val="18"/>
              </w:rPr>
            </w:pPr>
            <w:r w:rsidRPr="005759A2">
              <w:rPr>
                <w:rFonts w:ascii="Calibri" w:eastAsia="Times New Roman" w:hAnsi="Calibri" w:cs="Times New Roman"/>
                <w:b/>
                <w:bCs/>
                <w:color w:val="FFFFFF"/>
                <w:sz w:val="18"/>
                <w:szCs w:val="18"/>
              </w:rPr>
              <w:t>Pinnacle High School-Casa Grande</w:t>
            </w:r>
          </w:p>
        </w:tc>
        <w:tc>
          <w:tcPr>
            <w:tcW w:w="1245" w:type="dxa"/>
            <w:tcBorders>
              <w:top w:val="single" w:sz="4" w:space="0" w:color="auto"/>
              <w:left w:val="single" w:sz="4" w:space="0" w:color="auto"/>
              <w:bottom w:val="single" w:sz="4" w:space="0" w:color="auto"/>
              <w:right w:val="single" w:sz="4" w:space="0" w:color="auto"/>
            </w:tcBorders>
            <w:shd w:val="clear" w:color="4F81BD" w:fill="4F81BD"/>
            <w:vAlign w:val="bottom"/>
            <w:hideMark/>
          </w:tcPr>
          <w:p w14:paraId="61235BB8" w14:textId="77777777" w:rsidR="005759A2" w:rsidRPr="005759A2" w:rsidRDefault="005759A2" w:rsidP="005759A2">
            <w:pPr>
              <w:rPr>
                <w:rFonts w:ascii="Calibri" w:eastAsia="Times New Roman" w:hAnsi="Calibri" w:cs="Times New Roman"/>
                <w:b/>
                <w:bCs/>
                <w:color w:val="FFFFFF"/>
                <w:sz w:val="18"/>
                <w:szCs w:val="18"/>
              </w:rPr>
            </w:pPr>
            <w:r w:rsidRPr="005759A2">
              <w:rPr>
                <w:rFonts w:ascii="Calibri" w:eastAsia="Times New Roman" w:hAnsi="Calibri" w:cs="Times New Roman"/>
                <w:b/>
                <w:bCs/>
                <w:color w:val="FFFFFF"/>
                <w:sz w:val="18"/>
                <w:szCs w:val="18"/>
              </w:rPr>
              <w:t>Pinnacle Education-Kino Academy, Inc.</w:t>
            </w:r>
          </w:p>
        </w:tc>
        <w:tc>
          <w:tcPr>
            <w:tcW w:w="1059" w:type="dxa"/>
            <w:tcBorders>
              <w:top w:val="single" w:sz="4" w:space="0" w:color="auto"/>
              <w:left w:val="single" w:sz="4" w:space="0" w:color="auto"/>
              <w:bottom w:val="single" w:sz="4" w:space="0" w:color="auto"/>
              <w:right w:val="single" w:sz="4" w:space="0" w:color="auto"/>
            </w:tcBorders>
            <w:shd w:val="clear" w:color="4F81BD" w:fill="4F81BD"/>
            <w:vAlign w:val="bottom"/>
            <w:hideMark/>
          </w:tcPr>
          <w:p w14:paraId="24828D85" w14:textId="77777777" w:rsidR="005759A2" w:rsidRPr="005759A2" w:rsidRDefault="005759A2" w:rsidP="005759A2">
            <w:pPr>
              <w:rPr>
                <w:rFonts w:ascii="Calibri" w:eastAsia="Times New Roman" w:hAnsi="Calibri" w:cs="Times New Roman"/>
                <w:b/>
                <w:bCs/>
                <w:color w:val="FFFFFF"/>
                <w:sz w:val="18"/>
                <w:szCs w:val="18"/>
              </w:rPr>
            </w:pPr>
            <w:r w:rsidRPr="005759A2">
              <w:rPr>
                <w:rFonts w:ascii="Calibri" w:eastAsia="Times New Roman" w:hAnsi="Calibri" w:cs="Times New Roman"/>
                <w:b/>
                <w:bCs/>
                <w:color w:val="FFFFFF"/>
                <w:sz w:val="18"/>
                <w:szCs w:val="18"/>
              </w:rPr>
              <w:t>Pinnacle Education-Tempe, Inc</w:t>
            </w:r>
          </w:p>
        </w:tc>
        <w:tc>
          <w:tcPr>
            <w:tcW w:w="1027" w:type="dxa"/>
            <w:tcBorders>
              <w:top w:val="single" w:sz="4" w:space="0" w:color="auto"/>
              <w:left w:val="single" w:sz="4" w:space="0" w:color="auto"/>
              <w:bottom w:val="single" w:sz="4" w:space="0" w:color="auto"/>
              <w:right w:val="single" w:sz="4" w:space="0" w:color="auto"/>
            </w:tcBorders>
            <w:shd w:val="clear" w:color="4F81BD" w:fill="4F81BD"/>
            <w:vAlign w:val="bottom"/>
            <w:hideMark/>
          </w:tcPr>
          <w:p w14:paraId="3F7BDB78" w14:textId="77777777" w:rsidR="005759A2" w:rsidRPr="005759A2" w:rsidRDefault="005759A2" w:rsidP="005759A2">
            <w:pPr>
              <w:rPr>
                <w:rFonts w:ascii="Calibri" w:eastAsia="Times New Roman" w:hAnsi="Calibri" w:cs="Times New Roman"/>
                <w:b/>
                <w:bCs/>
                <w:color w:val="FFFFFF"/>
                <w:sz w:val="18"/>
                <w:szCs w:val="18"/>
              </w:rPr>
            </w:pPr>
            <w:r w:rsidRPr="005759A2">
              <w:rPr>
                <w:rFonts w:ascii="Calibri" w:eastAsia="Times New Roman" w:hAnsi="Calibri" w:cs="Times New Roman"/>
                <w:b/>
                <w:bCs/>
                <w:color w:val="FFFFFF"/>
                <w:sz w:val="18"/>
                <w:szCs w:val="18"/>
              </w:rPr>
              <w:t>Pinnacle Education-Westmark Chandler Boulevard, Inc</w:t>
            </w:r>
          </w:p>
        </w:tc>
        <w:tc>
          <w:tcPr>
            <w:tcW w:w="1052" w:type="dxa"/>
            <w:tcBorders>
              <w:top w:val="single" w:sz="4" w:space="0" w:color="auto"/>
              <w:left w:val="single" w:sz="4" w:space="0" w:color="auto"/>
              <w:bottom w:val="single" w:sz="4" w:space="0" w:color="auto"/>
              <w:right w:val="single" w:sz="4" w:space="0" w:color="auto"/>
            </w:tcBorders>
            <w:shd w:val="clear" w:color="4F81BD" w:fill="4F81BD"/>
            <w:vAlign w:val="bottom"/>
            <w:hideMark/>
          </w:tcPr>
          <w:p w14:paraId="0D9F4E42" w14:textId="77777777" w:rsidR="005759A2" w:rsidRPr="005759A2" w:rsidRDefault="005759A2" w:rsidP="005759A2">
            <w:pPr>
              <w:rPr>
                <w:rFonts w:ascii="Calibri" w:eastAsia="Times New Roman" w:hAnsi="Calibri" w:cs="Times New Roman"/>
                <w:b/>
                <w:bCs/>
                <w:color w:val="FFFFFF"/>
                <w:sz w:val="18"/>
                <w:szCs w:val="18"/>
              </w:rPr>
            </w:pPr>
            <w:r w:rsidRPr="005759A2">
              <w:rPr>
                <w:rFonts w:ascii="Calibri" w:eastAsia="Times New Roman" w:hAnsi="Calibri" w:cs="Times New Roman"/>
                <w:b/>
                <w:bCs/>
                <w:color w:val="FFFFFF"/>
                <w:sz w:val="18"/>
                <w:szCs w:val="18"/>
              </w:rPr>
              <w:t>Total</w:t>
            </w:r>
          </w:p>
        </w:tc>
      </w:tr>
      <w:tr w:rsidR="005759A2" w:rsidRPr="005759A2" w14:paraId="2C33E214"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4D86EB64" w14:textId="77777777" w:rsidR="005759A2" w:rsidRPr="005759A2" w:rsidRDefault="005759A2" w:rsidP="005759A2">
            <w:pPr>
              <w:rPr>
                <w:rFonts w:ascii="Calibri" w:eastAsia="Times New Roman" w:hAnsi="Calibri" w:cs="Times New Roman"/>
                <w:color w:val="3366FF"/>
                <w:sz w:val="18"/>
                <w:szCs w:val="18"/>
              </w:rPr>
            </w:pPr>
            <w:r w:rsidRPr="005759A2">
              <w:rPr>
                <w:rFonts w:ascii="Calibri" w:eastAsia="Times New Roman" w:hAnsi="Calibri" w:cs="Times New Roman"/>
                <w:color w:val="3366FF"/>
                <w:sz w:val="18"/>
                <w:szCs w:val="18"/>
              </w:rPr>
              <w:t> </w:t>
            </w:r>
          </w:p>
        </w:tc>
        <w:tc>
          <w:tcPr>
            <w:tcW w:w="1165" w:type="dxa"/>
            <w:tcBorders>
              <w:top w:val="nil"/>
              <w:left w:val="nil"/>
              <w:bottom w:val="single" w:sz="4" w:space="0" w:color="auto"/>
              <w:right w:val="single" w:sz="4" w:space="0" w:color="auto"/>
            </w:tcBorders>
            <w:shd w:val="clear" w:color="000000" w:fill="3366FF"/>
            <w:noWrap/>
            <w:vAlign w:val="bottom"/>
            <w:hideMark/>
          </w:tcPr>
          <w:p w14:paraId="4C012DC0" w14:textId="77777777" w:rsidR="005759A2" w:rsidRPr="005759A2" w:rsidRDefault="005759A2" w:rsidP="005759A2">
            <w:pPr>
              <w:rPr>
                <w:rFonts w:ascii="Calibri" w:eastAsia="Times New Roman" w:hAnsi="Calibri" w:cs="Times New Roman"/>
                <w:color w:val="3366FF"/>
                <w:sz w:val="18"/>
                <w:szCs w:val="18"/>
              </w:rPr>
            </w:pPr>
            <w:r w:rsidRPr="005759A2">
              <w:rPr>
                <w:rFonts w:ascii="Calibri" w:eastAsia="Times New Roman" w:hAnsi="Calibri" w:cs="Times New Roman"/>
                <w:color w:val="3366FF"/>
                <w:sz w:val="18"/>
                <w:szCs w:val="18"/>
              </w:rPr>
              <w:t> </w:t>
            </w:r>
          </w:p>
        </w:tc>
        <w:tc>
          <w:tcPr>
            <w:tcW w:w="1245" w:type="dxa"/>
            <w:tcBorders>
              <w:top w:val="nil"/>
              <w:left w:val="nil"/>
              <w:bottom w:val="single" w:sz="4" w:space="0" w:color="auto"/>
              <w:right w:val="single" w:sz="4" w:space="0" w:color="auto"/>
            </w:tcBorders>
            <w:shd w:val="clear" w:color="000000" w:fill="3366FF"/>
            <w:noWrap/>
            <w:vAlign w:val="bottom"/>
            <w:hideMark/>
          </w:tcPr>
          <w:p w14:paraId="6444F118" w14:textId="77777777" w:rsidR="005759A2" w:rsidRPr="005759A2" w:rsidRDefault="005759A2" w:rsidP="005759A2">
            <w:pPr>
              <w:rPr>
                <w:rFonts w:ascii="Calibri" w:eastAsia="Times New Roman" w:hAnsi="Calibri" w:cs="Times New Roman"/>
                <w:color w:val="3366FF"/>
                <w:sz w:val="18"/>
                <w:szCs w:val="18"/>
              </w:rPr>
            </w:pPr>
            <w:r w:rsidRPr="005759A2">
              <w:rPr>
                <w:rFonts w:ascii="Calibri" w:eastAsia="Times New Roman" w:hAnsi="Calibri" w:cs="Times New Roman"/>
                <w:color w:val="3366FF"/>
                <w:sz w:val="18"/>
                <w:szCs w:val="18"/>
              </w:rPr>
              <w:t> </w:t>
            </w:r>
          </w:p>
        </w:tc>
        <w:tc>
          <w:tcPr>
            <w:tcW w:w="1059" w:type="dxa"/>
            <w:tcBorders>
              <w:top w:val="nil"/>
              <w:left w:val="nil"/>
              <w:bottom w:val="single" w:sz="4" w:space="0" w:color="auto"/>
              <w:right w:val="single" w:sz="4" w:space="0" w:color="auto"/>
            </w:tcBorders>
            <w:shd w:val="clear" w:color="000000" w:fill="3366FF"/>
            <w:noWrap/>
            <w:vAlign w:val="bottom"/>
            <w:hideMark/>
          </w:tcPr>
          <w:p w14:paraId="43E21776" w14:textId="77777777" w:rsidR="005759A2" w:rsidRPr="005759A2" w:rsidRDefault="005759A2" w:rsidP="005759A2">
            <w:pPr>
              <w:rPr>
                <w:rFonts w:ascii="Calibri" w:eastAsia="Times New Roman" w:hAnsi="Calibri" w:cs="Times New Roman"/>
                <w:color w:val="3366FF"/>
                <w:sz w:val="18"/>
                <w:szCs w:val="18"/>
              </w:rPr>
            </w:pPr>
            <w:r w:rsidRPr="005759A2">
              <w:rPr>
                <w:rFonts w:ascii="Calibri" w:eastAsia="Times New Roman" w:hAnsi="Calibri" w:cs="Times New Roman"/>
                <w:color w:val="3366FF"/>
                <w:sz w:val="18"/>
                <w:szCs w:val="18"/>
              </w:rPr>
              <w:t> </w:t>
            </w:r>
          </w:p>
        </w:tc>
        <w:tc>
          <w:tcPr>
            <w:tcW w:w="1027" w:type="dxa"/>
            <w:tcBorders>
              <w:top w:val="nil"/>
              <w:left w:val="nil"/>
              <w:bottom w:val="single" w:sz="4" w:space="0" w:color="auto"/>
              <w:right w:val="single" w:sz="4" w:space="0" w:color="auto"/>
            </w:tcBorders>
            <w:shd w:val="clear" w:color="000000" w:fill="3366FF"/>
            <w:noWrap/>
            <w:vAlign w:val="bottom"/>
            <w:hideMark/>
          </w:tcPr>
          <w:p w14:paraId="53AAD95D" w14:textId="77777777" w:rsidR="005759A2" w:rsidRPr="005759A2" w:rsidRDefault="005759A2" w:rsidP="005759A2">
            <w:pPr>
              <w:rPr>
                <w:rFonts w:ascii="Calibri" w:eastAsia="Times New Roman" w:hAnsi="Calibri" w:cs="Times New Roman"/>
                <w:color w:val="3366FF"/>
                <w:sz w:val="18"/>
                <w:szCs w:val="18"/>
              </w:rPr>
            </w:pPr>
            <w:r w:rsidRPr="005759A2">
              <w:rPr>
                <w:rFonts w:ascii="Calibri" w:eastAsia="Times New Roman" w:hAnsi="Calibri" w:cs="Times New Roman"/>
                <w:color w:val="3366FF"/>
                <w:sz w:val="18"/>
                <w:szCs w:val="18"/>
              </w:rPr>
              <w:t> </w:t>
            </w:r>
          </w:p>
        </w:tc>
        <w:tc>
          <w:tcPr>
            <w:tcW w:w="1052"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5C61BA45"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 </w:t>
            </w:r>
          </w:p>
        </w:tc>
      </w:tr>
      <w:tr w:rsidR="005759A2" w:rsidRPr="005759A2" w14:paraId="08CDC274"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D74DA27" w14:textId="77777777" w:rsidR="005759A2" w:rsidRPr="005759A2" w:rsidRDefault="005759A2" w:rsidP="005759A2">
            <w:pPr>
              <w:jc w:val="right"/>
              <w:rPr>
                <w:rFonts w:ascii="Times New Roman" w:eastAsia="Times New Roman" w:hAnsi="Times New Roman" w:cs="Times New Roman"/>
                <w:b/>
                <w:bCs/>
                <w:sz w:val="18"/>
                <w:szCs w:val="18"/>
              </w:rPr>
            </w:pPr>
            <w:r w:rsidRPr="005759A2">
              <w:rPr>
                <w:rFonts w:ascii="Times New Roman" w:eastAsia="Times New Roman" w:hAnsi="Times New Roman" w:cs="Times New Roman"/>
                <w:b/>
                <w:bCs/>
                <w:sz w:val="18"/>
                <w:szCs w:val="18"/>
              </w:rPr>
              <w:t>Enrollment October 1 2015</w:t>
            </w:r>
          </w:p>
        </w:tc>
        <w:tc>
          <w:tcPr>
            <w:tcW w:w="1165"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66E1EF8B"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40</w:t>
            </w:r>
          </w:p>
        </w:tc>
        <w:tc>
          <w:tcPr>
            <w:tcW w:w="1245"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04AF9E7C"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105</w:t>
            </w:r>
          </w:p>
        </w:tc>
        <w:tc>
          <w:tcPr>
            <w:tcW w:w="1059"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605FBF9B"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431</w:t>
            </w:r>
          </w:p>
        </w:tc>
        <w:tc>
          <w:tcPr>
            <w:tcW w:w="1027"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54467EDD"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44</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F7DD128" w14:textId="300A13B3"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 </w:t>
            </w:r>
            <w:r w:rsidR="006A527D">
              <w:rPr>
                <w:rFonts w:ascii="Calibri" w:eastAsia="Times New Roman" w:hAnsi="Calibri" w:cs="Times New Roman"/>
                <w:color w:val="000000"/>
                <w:sz w:val="18"/>
                <w:szCs w:val="18"/>
              </w:rPr>
              <w:t>620</w:t>
            </w:r>
          </w:p>
        </w:tc>
      </w:tr>
      <w:tr w:rsidR="005759A2" w:rsidRPr="005759A2" w14:paraId="0D22A767"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58A9843A" w14:textId="77777777" w:rsidR="005759A2" w:rsidRPr="005759A2" w:rsidRDefault="005759A2" w:rsidP="005759A2">
            <w:pPr>
              <w:rPr>
                <w:rFonts w:ascii="Calibri" w:eastAsia="Times New Roman" w:hAnsi="Calibri" w:cs="Times New Roman"/>
                <w:color w:val="3366FF"/>
                <w:sz w:val="18"/>
                <w:szCs w:val="18"/>
              </w:rPr>
            </w:pPr>
            <w:r w:rsidRPr="005759A2">
              <w:rPr>
                <w:rFonts w:ascii="Calibri" w:eastAsia="Times New Roman" w:hAnsi="Calibri" w:cs="Times New Roman"/>
                <w:color w:val="3366FF"/>
                <w:sz w:val="18"/>
                <w:szCs w:val="18"/>
              </w:rPr>
              <w:t> </w:t>
            </w:r>
          </w:p>
        </w:tc>
        <w:tc>
          <w:tcPr>
            <w:tcW w:w="1165" w:type="dxa"/>
            <w:tcBorders>
              <w:top w:val="nil"/>
              <w:left w:val="nil"/>
              <w:bottom w:val="single" w:sz="4" w:space="0" w:color="auto"/>
              <w:right w:val="single" w:sz="4" w:space="0" w:color="auto"/>
            </w:tcBorders>
            <w:shd w:val="clear" w:color="000000" w:fill="3366FF"/>
            <w:noWrap/>
            <w:vAlign w:val="bottom"/>
            <w:hideMark/>
          </w:tcPr>
          <w:p w14:paraId="7A4285B9" w14:textId="77777777" w:rsidR="005759A2" w:rsidRPr="005759A2" w:rsidRDefault="005759A2" w:rsidP="005759A2">
            <w:pPr>
              <w:rPr>
                <w:rFonts w:ascii="Calibri" w:eastAsia="Times New Roman" w:hAnsi="Calibri" w:cs="Times New Roman"/>
                <w:color w:val="3366FF"/>
                <w:sz w:val="18"/>
                <w:szCs w:val="18"/>
              </w:rPr>
            </w:pPr>
            <w:r w:rsidRPr="005759A2">
              <w:rPr>
                <w:rFonts w:ascii="Calibri" w:eastAsia="Times New Roman" w:hAnsi="Calibri" w:cs="Times New Roman"/>
                <w:color w:val="3366FF"/>
                <w:sz w:val="18"/>
                <w:szCs w:val="18"/>
              </w:rPr>
              <w:t> </w:t>
            </w:r>
          </w:p>
        </w:tc>
        <w:tc>
          <w:tcPr>
            <w:tcW w:w="1245" w:type="dxa"/>
            <w:tcBorders>
              <w:top w:val="nil"/>
              <w:left w:val="nil"/>
              <w:bottom w:val="single" w:sz="4" w:space="0" w:color="auto"/>
              <w:right w:val="single" w:sz="4" w:space="0" w:color="auto"/>
            </w:tcBorders>
            <w:shd w:val="clear" w:color="000000" w:fill="3366FF"/>
            <w:noWrap/>
            <w:vAlign w:val="bottom"/>
            <w:hideMark/>
          </w:tcPr>
          <w:p w14:paraId="6511168C" w14:textId="77777777" w:rsidR="005759A2" w:rsidRPr="005759A2" w:rsidRDefault="005759A2" w:rsidP="005759A2">
            <w:pPr>
              <w:rPr>
                <w:rFonts w:ascii="Calibri" w:eastAsia="Times New Roman" w:hAnsi="Calibri" w:cs="Times New Roman"/>
                <w:color w:val="3366FF"/>
                <w:sz w:val="18"/>
                <w:szCs w:val="18"/>
              </w:rPr>
            </w:pPr>
            <w:r w:rsidRPr="005759A2">
              <w:rPr>
                <w:rFonts w:ascii="Calibri" w:eastAsia="Times New Roman" w:hAnsi="Calibri" w:cs="Times New Roman"/>
                <w:color w:val="3366FF"/>
                <w:sz w:val="18"/>
                <w:szCs w:val="18"/>
              </w:rPr>
              <w:t> </w:t>
            </w:r>
          </w:p>
        </w:tc>
        <w:tc>
          <w:tcPr>
            <w:tcW w:w="1059" w:type="dxa"/>
            <w:tcBorders>
              <w:top w:val="nil"/>
              <w:left w:val="nil"/>
              <w:bottom w:val="single" w:sz="4" w:space="0" w:color="auto"/>
              <w:right w:val="single" w:sz="4" w:space="0" w:color="auto"/>
            </w:tcBorders>
            <w:shd w:val="clear" w:color="000000" w:fill="3366FF"/>
            <w:noWrap/>
            <w:vAlign w:val="bottom"/>
            <w:hideMark/>
          </w:tcPr>
          <w:p w14:paraId="5B9ADAF0" w14:textId="77777777" w:rsidR="005759A2" w:rsidRPr="005759A2" w:rsidRDefault="005759A2" w:rsidP="005759A2">
            <w:pPr>
              <w:rPr>
                <w:rFonts w:ascii="Calibri" w:eastAsia="Times New Roman" w:hAnsi="Calibri" w:cs="Times New Roman"/>
                <w:color w:val="3366FF"/>
                <w:sz w:val="18"/>
                <w:szCs w:val="18"/>
              </w:rPr>
            </w:pPr>
            <w:r w:rsidRPr="005759A2">
              <w:rPr>
                <w:rFonts w:ascii="Calibri" w:eastAsia="Times New Roman" w:hAnsi="Calibri" w:cs="Times New Roman"/>
                <w:color w:val="3366FF"/>
                <w:sz w:val="18"/>
                <w:szCs w:val="18"/>
              </w:rPr>
              <w:t> </w:t>
            </w:r>
          </w:p>
        </w:tc>
        <w:tc>
          <w:tcPr>
            <w:tcW w:w="1027" w:type="dxa"/>
            <w:tcBorders>
              <w:top w:val="nil"/>
              <w:left w:val="nil"/>
              <w:bottom w:val="single" w:sz="4" w:space="0" w:color="auto"/>
              <w:right w:val="single" w:sz="4" w:space="0" w:color="auto"/>
            </w:tcBorders>
            <w:shd w:val="clear" w:color="000000" w:fill="3366FF"/>
            <w:noWrap/>
            <w:vAlign w:val="bottom"/>
            <w:hideMark/>
          </w:tcPr>
          <w:p w14:paraId="5ECE2079" w14:textId="77777777" w:rsidR="005759A2" w:rsidRPr="005759A2" w:rsidRDefault="005759A2" w:rsidP="005759A2">
            <w:pPr>
              <w:rPr>
                <w:rFonts w:ascii="Calibri" w:eastAsia="Times New Roman" w:hAnsi="Calibri" w:cs="Times New Roman"/>
                <w:color w:val="3366FF"/>
                <w:sz w:val="18"/>
                <w:szCs w:val="18"/>
              </w:rPr>
            </w:pPr>
            <w:r w:rsidRPr="005759A2">
              <w:rPr>
                <w:rFonts w:ascii="Calibri" w:eastAsia="Times New Roman" w:hAnsi="Calibri" w:cs="Times New Roman"/>
                <w:color w:val="3366FF"/>
                <w:sz w:val="18"/>
                <w:szCs w:val="18"/>
              </w:rPr>
              <w:t> </w:t>
            </w:r>
          </w:p>
        </w:tc>
        <w:tc>
          <w:tcPr>
            <w:tcW w:w="1052"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24C0A264"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 </w:t>
            </w:r>
          </w:p>
        </w:tc>
      </w:tr>
      <w:tr w:rsidR="005759A2" w:rsidRPr="005759A2" w14:paraId="4C7BDDEE"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57CE26E"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1000 Instruction</w:t>
            </w:r>
          </w:p>
        </w:tc>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307386E"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$82,298</w:t>
            </w:r>
          </w:p>
        </w:tc>
        <w:tc>
          <w:tcPr>
            <w:tcW w:w="124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70C9CB7"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$202,491</w:t>
            </w:r>
          </w:p>
        </w:tc>
        <w:tc>
          <w:tcPr>
            <w:tcW w:w="10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9E500A1"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$837,930</w:t>
            </w:r>
          </w:p>
        </w:tc>
        <w:tc>
          <w:tcPr>
            <w:tcW w:w="10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1560CC3"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$73,567</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D345A60"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$1,196,286</w:t>
            </w:r>
          </w:p>
        </w:tc>
      </w:tr>
      <w:tr w:rsidR="005759A2" w:rsidRPr="005759A2" w14:paraId="5B93AC62"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46FDD11F"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124C6E0D"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w:t>
            </w:r>
          </w:p>
        </w:tc>
        <w:tc>
          <w:tcPr>
            <w:tcW w:w="124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1926AFC2"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7C316071"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w:t>
            </w:r>
          </w:p>
        </w:tc>
        <w:tc>
          <w:tcPr>
            <w:tcW w:w="102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0D4DCD62"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w:t>
            </w:r>
          </w:p>
        </w:tc>
        <w:tc>
          <w:tcPr>
            <w:tcW w:w="1052"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7CCCE5AA"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 </w:t>
            </w:r>
          </w:p>
        </w:tc>
      </w:tr>
      <w:tr w:rsidR="005759A2" w:rsidRPr="005759A2" w14:paraId="5822736F"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B490EBB"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2100 Students </w:t>
            </w:r>
          </w:p>
        </w:tc>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CC701B0"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$18,227</w:t>
            </w:r>
          </w:p>
        </w:tc>
        <w:tc>
          <w:tcPr>
            <w:tcW w:w="124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9988A0B"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$70,758</w:t>
            </w:r>
          </w:p>
        </w:tc>
        <w:tc>
          <w:tcPr>
            <w:tcW w:w="10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BF477F3"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$546,981</w:t>
            </w:r>
          </w:p>
        </w:tc>
        <w:tc>
          <w:tcPr>
            <w:tcW w:w="10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CAA88B5"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$11,786</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54B6305"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$647,752</w:t>
            </w:r>
          </w:p>
        </w:tc>
      </w:tr>
      <w:tr w:rsidR="005759A2" w:rsidRPr="005759A2" w14:paraId="2188732E"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3CB34124"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43D6D76C"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w:t>
            </w:r>
          </w:p>
        </w:tc>
        <w:tc>
          <w:tcPr>
            <w:tcW w:w="124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24131FCE"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0CB7E5F3"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w:t>
            </w:r>
          </w:p>
        </w:tc>
        <w:tc>
          <w:tcPr>
            <w:tcW w:w="102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05FD5307"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w:t>
            </w:r>
          </w:p>
        </w:tc>
        <w:tc>
          <w:tcPr>
            <w:tcW w:w="1052"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6266EC69"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 </w:t>
            </w:r>
          </w:p>
        </w:tc>
      </w:tr>
      <w:tr w:rsidR="005759A2" w:rsidRPr="005759A2" w14:paraId="698BE803"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AB768EE"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2200 Instruction </w:t>
            </w:r>
          </w:p>
        </w:tc>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941354C"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5A67F5A"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F7051E6"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302B2DC"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9944E48" w14:textId="294D3448"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 </w:t>
            </w:r>
            <w:r w:rsidR="00CE2697">
              <w:rPr>
                <w:rFonts w:ascii="Calibri" w:eastAsia="Times New Roman" w:hAnsi="Calibri" w:cs="Times New Roman"/>
                <w:color w:val="000000"/>
                <w:sz w:val="18"/>
                <w:szCs w:val="18"/>
              </w:rPr>
              <w:t>0</w:t>
            </w:r>
          </w:p>
        </w:tc>
      </w:tr>
      <w:tr w:rsidR="005759A2" w:rsidRPr="005759A2" w14:paraId="4641C933"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3750B35A"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2300 General Administration </w:t>
            </w:r>
          </w:p>
        </w:tc>
        <w:tc>
          <w:tcPr>
            <w:tcW w:w="116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2DFD4BA1"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$10,333</w:t>
            </w:r>
          </w:p>
        </w:tc>
        <w:tc>
          <w:tcPr>
            <w:tcW w:w="124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694B2159"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$20,405</w:t>
            </w:r>
          </w:p>
        </w:tc>
        <w:tc>
          <w:tcPr>
            <w:tcW w:w="105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024B4693"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$222,957</w:t>
            </w:r>
          </w:p>
        </w:tc>
        <w:tc>
          <w:tcPr>
            <w:tcW w:w="102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1CDF36D1"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$11,395</w:t>
            </w:r>
          </w:p>
        </w:tc>
        <w:tc>
          <w:tcPr>
            <w:tcW w:w="1052"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3A46B95C"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$265,090</w:t>
            </w:r>
          </w:p>
        </w:tc>
      </w:tr>
      <w:tr w:rsidR="005759A2" w:rsidRPr="005759A2" w14:paraId="38D1A64A"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4D08E01"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2400 School Administration </w:t>
            </w:r>
          </w:p>
        </w:tc>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FE4AC75"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$3,893</w:t>
            </w:r>
          </w:p>
        </w:tc>
        <w:tc>
          <w:tcPr>
            <w:tcW w:w="124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2B8D426"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$3,301</w:t>
            </w:r>
          </w:p>
        </w:tc>
        <w:tc>
          <w:tcPr>
            <w:tcW w:w="10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7AFB93B"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$103,791</w:t>
            </w:r>
          </w:p>
        </w:tc>
        <w:tc>
          <w:tcPr>
            <w:tcW w:w="10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B61D6FC"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$2,105</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381777C"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$113,090</w:t>
            </w:r>
          </w:p>
        </w:tc>
      </w:tr>
      <w:tr w:rsidR="005759A2" w:rsidRPr="005759A2" w14:paraId="701FBDCA"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5DE54158"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2500 Central Services</w:t>
            </w:r>
          </w:p>
        </w:tc>
        <w:tc>
          <w:tcPr>
            <w:tcW w:w="116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3F08AC5A"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$867</w:t>
            </w:r>
          </w:p>
        </w:tc>
        <w:tc>
          <w:tcPr>
            <w:tcW w:w="124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4AC8DB4D"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$29,831</w:t>
            </w:r>
          </w:p>
        </w:tc>
        <w:tc>
          <w:tcPr>
            <w:tcW w:w="105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1691F450"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$285,218</w:t>
            </w:r>
          </w:p>
        </w:tc>
        <w:tc>
          <w:tcPr>
            <w:tcW w:w="102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785664A5"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$881</w:t>
            </w:r>
          </w:p>
        </w:tc>
        <w:tc>
          <w:tcPr>
            <w:tcW w:w="1052"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25600800"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$316,797</w:t>
            </w:r>
          </w:p>
        </w:tc>
      </w:tr>
      <w:tr w:rsidR="005759A2" w:rsidRPr="005759A2" w14:paraId="4CD45D16"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CC0EDC4"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2600 Operation &amp; Maintenance of Plant </w:t>
            </w:r>
          </w:p>
        </w:tc>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06E2396"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$62,685</w:t>
            </w:r>
          </w:p>
        </w:tc>
        <w:tc>
          <w:tcPr>
            <w:tcW w:w="124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C5811D9"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$93,181</w:t>
            </w:r>
          </w:p>
        </w:tc>
        <w:tc>
          <w:tcPr>
            <w:tcW w:w="10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9B1A24C"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$403,300</w:t>
            </w:r>
          </w:p>
        </w:tc>
        <w:tc>
          <w:tcPr>
            <w:tcW w:w="10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EAC302E"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$65,109</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EC0FDC5"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$624,275</w:t>
            </w:r>
          </w:p>
        </w:tc>
      </w:tr>
      <w:tr w:rsidR="005759A2" w:rsidRPr="005759A2" w14:paraId="6DB044BC"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0A03EBD6"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2900 Other Support Services</w:t>
            </w:r>
          </w:p>
        </w:tc>
        <w:tc>
          <w:tcPr>
            <w:tcW w:w="116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537B3839"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3928C77C"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6C79C5A6"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16A056D6"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20300804"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750BC09C"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E49E4D9"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3000 Operation of Noninstructional Services</w:t>
            </w:r>
          </w:p>
        </w:tc>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3DD18C0"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40B2EE8"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C1333C0"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7B532CD"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D6ACB73"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369248CE"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5EE90599"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4000 Facilities Acquisition &amp; Construction</w:t>
            </w:r>
          </w:p>
        </w:tc>
        <w:tc>
          <w:tcPr>
            <w:tcW w:w="116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2C88B233"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13290C6C"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28CE4010"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0B7C5B77"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3CCD99CE"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52FADB60"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4FFDFED"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5000 Debt Service</w:t>
            </w:r>
          </w:p>
        </w:tc>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73E5FD1"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EEE8ACC"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04FA4F4"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A77ED66"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5DB23D7"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6F393994"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7CBEDDC5"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610 School-Sponsored Cocurricular Activities</w:t>
            </w:r>
          </w:p>
        </w:tc>
        <w:tc>
          <w:tcPr>
            <w:tcW w:w="116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414EBDFC"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04DB4A49"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6BBD8EE9"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622069EB"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108C3E28"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5E35C4E2"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162D3B0"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620 School-Sponsored Athletics</w:t>
            </w:r>
          </w:p>
        </w:tc>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75FB039"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CF857C5"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E4BF670"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339E04E"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E5F0453"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509C4A2B"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4FCEFF0C"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630, 700, 800, 900 Other Programs</w:t>
            </w:r>
          </w:p>
        </w:tc>
        <w:tc>
          <w:tcPr>
            <w:tcW w:w="116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531B4D3E"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596F3437"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1A330304"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32076C8C"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61DC0442"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56892A6E"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6D62692"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lastRenderedPageBreak/>
              <w:t xml:space="preserve">    Subtotal (lines 1-14)</w:t>
            </w:r>
          </w:p>
        </w:tc>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0926570"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$178,303</w:t>
            </w:r>
          </w:p>
        </w:tc>
        <w:tc>
          <w:tcPr>
            <w:tcW w:w="124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B4A4E94"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$419,967</w:t>
            </w:r>
          </w:p>
        </w:tc>
        <w:tc>
          <w:tcPr>
            <w:tcW w:w="10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CB57C3F"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$2,400,177</w:t>
            </w:r>
          </w:p>
        </w:tc>
        <w:tc>
          <w:tcPr>
            <w:tcW w:w="10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96C8017"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$164,843</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27AA7EE"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$3,163,290</w:t>
            </w:r>
          </w:p>
        </w:tc>
      </w:tr>
      <w:tr w:rsidR="005759A2" w:rsidRPr="005759A2" w14:paraId="11DBBD81" w14:textId="77777777" w:rsidTr="006A527D">
        <w:trPr>
          <w:trHeight w:val="300"/>
        </w:trPr>
        <w:tc>
          <w:tcPr>
            <w:tcW w:w="44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672D970C" w14:textId="77777777" w:rsidR="005759A2" w:rsidRPr="005759A2" w:rsidRDefault="005759A2" w:rsidP="005759A2">
            <w:pPr>
              <w:rPr>
                <w:rFonts w:ascii="Times New Roman" w:eastAsia="Times New Roman" w:hAnsi="Times New Roman" w:cs="Times New Roman"/>
                <w:b/>
                <w:bCs/>
                <w:sz w:val="18"/>
                <w:szCs w:val="18"/>
              </w:rPr>
            </w:pPr>
            <w:r w:rsidRPr="005759A2">
              <w:rPr>
                <w:rFonts w:ascii="Times New Roman" w:eastAsia="Times New Roman" w:hAnsi="Times New Roman" w:cs="Times New Roman"/>
                <w:b/>
                <w:bCs/>
                <w:sz w:val="18"/>
                <w:szCs w:val="18"/>
              </w:rPr>
              <w:t>200 Special Education</w:t>
            </w:r>
          </w:p>
        </w:tc>
        <w:tc>
          <w:tcPr>
            <w:tcW w:w="1165" w:type="dxa"/>
            <w:tcBorders>
              <w:top w:val="single" w:sz="4" w:space="0" w:color="auto"/>
              <w:left w:val="single" w:sz="4" w:space="0" w:color="auto"/>
              <w:bottom w:val="single" w:sz="4" w:space="0" w:color="auto"/>
              <w:right w:val="single" w:sz="4" w:space="0" w:color="auto"/>
            </w:tcBorders>
            <w:shd w:val="clear" w:color="B8CCE4" w:fill="B8CCE4"/>
            <w:noWrap/>
            <w:vAlign w:val="bottom"/>
          </w:tcPr>
          <w:p w14:paraId="5B08A670" w14:textId="41B11C66" w:rsidR="005759A2" w:rsidRPr="005759A2" w:rsidRDefault="005759A2" w:rsidP="005759A2">
            <w:pPr>
              <w:rPr>
                <w:rFonts w:ascii="Times New Roman" w:eastAsia="Times New Roman" w:hAnsi="Times New Roman" w:cs="Times New Roman"/>
                <w:sz w:val="18"/>
                <w:szCs w:val="18"/>
              </w:rPr>
            </w:pPr>
          </w:p>
        </w:tc>
        <w:tc>
          <w:tcPr>
            <w:tcW w:w="1245" w:type="dxa"/>
            <w:tcBorders>
              <w:top w:val="single" w:sz="4" w:space="0" w:color="auto"/>
              <w:left w:val="single" w:sz="4" w:space="0" w:color="auto"/>
              <w:bottom w:val="single" w:sz="4" w:space="0" w:color="auto"/>
              <w:right w:val="single" w:sz="4" w:space="0" w:color="auto"/>
            </w:tcBorders>
            <w:shd w:val="clear" w:color="B8CCE4" w:fill="B8CCE4"/>
            <w:noWrap/>
            <w:vAlign w:val="bottom"/>
          </w:tcPr>
          <w:p w14:paraId="75E5F2EC" w14:textId="2D7A2383" w:rsidR="005759A2" w:rsidRPr="005759A2" w:rsidRDefault="005759A2" w:rsidP="005759A2">
            <w:pPr>
              <w:rPr>
                <w:rFonts w:ascii="Times New Roman" w:eastAsia="Times New Roman" w:hAnsi="Times New Roman" w:cs="Times New Roman"/>
                <w:sz w:val="18"/>
                <w:szCs w:val="18"/>
              </w:rPr>
            </w:pPr>
          </w:p>
        </w:tc>
        <w:tc>
          <w:tcPr>
            <w:tcW w:w="1059" w:type="dxa"/>
            <w:tcBorders>
              <w:top w:val="single" w:sz="4" w:space="0" w:color="auto"/>
              <w:left w:val="single" w:sz="4" w:space="0" w:color="auto"/>
              <w:bottom w:val="single" w:sz="4" w:space="0" w:color="auto"/>
              <w:right w:val="single" w:sz="4" w:space="0" w:color="auto"/>
            </w:tcBorders>
            <w:shd w:val="clear" w:color="B8CCE4" w:fill="B8CCE4"/>
            <w:noWrap/>
            <w:vAlign w:val="bottom"/>
          </w:tcPr>
          <w:p w14:paraId="11A53894" w14:textId="160DE0EA" w:rsidR="005759A2" w:rsidRPr="005759A2" w:rsidRDefault="005759A2" w:rsidP="005759A2">
            <w:pPr>
              <w:rPr>
                <w:rFonts w:ascii="Times New Roman" w:eastAsia="Times New Roman" w:hAnsi="Times New Roman" w:cs="Times New Roman"/>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B8CCE4" w:fill="B8CCE4"/>
            <w:noWrap/>
            <w:vAlign w:val="bottom"/>
          </w:tcPr>
          <w:p w14:paraId="0A784E86" w14:textId="57A2A7D8" w:rsidR="005759A2" w:rsidRPr="005759A2" w:rsidRDefault="005759A2" w:rsidP="005759A2">
            <w:pPr>
              <w:rPr>
                <w:rFonts w:ascii="Times New Roman" w:eastAsia="Times New Roman" w:hAnsi="Times New Roman" w:cs="Times New Roman"/>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B8CCE4" w:fill="B8CCE4"/>
            <w:noWrap/>
            <w:vAlign w:val="bottom"/>
          </w:tcPr>
          <w:p w14:paraId="44692C77" w14:textId="7D5F99F8" w:rsidR="005759A2" w:rsidRPr="005759A2" w:rsidRDefault="005759A2" w:rsidP="005759A2">
            <w:pPr>
              <w:rPr>
                <w:rFonts w:ascii="Calibri" w:eastAsia="Times New Roman" w:hAnsi="Calibri" w:cs="Times New Roman"/>
                <w:color w:val="000000"/>
                <w:sz w:val="18"/>
                <w:szCs w:val="18"/>
              </w:rPr>
            </w:pPr>
          </w:p>
        </w:tc>
      </w:tr>
      <w:tr w:rsidR="006A527D" w:rsidRPr="005759A2" w14:paraId="2D688F5F"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601C366" w14:textId="77777777" w:rsidR="006A527D" w:rsidRPr="005759A2" w:rsidRDefault="006A527D"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1000 Instruction</w:t>
            </w:r>
          </w:p>
        </w:tc>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CB1E91B" w14:textId="106E8774" w:rsidR="006A527D" w:rsidRPr="005759A2" w:rsidRDefault="006A527D"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$175</w:t>
            </w:r>
          </w:p>
        </w:tc>
        <w:tc>
          <w:tcPr>
            <w:tcW w:w="124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048B4D5" w14:textId="23E2B33F" w:rsidR="006A527D" w:rsidRPr="005759A2" w:rsidRDefault="006A527D"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$1,207</w:t>
            </w:r>
          </w:p>
        </w:tc>
        <w:tc>
          <w:tcPr>
            <w:tcW w:w="10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04E2B52" w14:textId="57F32ECB" w:rsidR="006A527D" w:rsidRPr="005759A2" w:rsidRDefault="006A527D"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$118,073</w:t>
            </w:r>
          </w:p>
        </w:tc>
        <w:tc>
          <w:tcPr>
            <w:tcW w:w="10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1E09766" w14:textId="533D0A47" w:rsidR="006A527D" w:rsidRPr="005759A2" w:rsidRDefault="006A527D"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$2,049</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01CD6C8" w14:textId="52BDC22D" w:rsidR="006A527D" w:rsidRPr="005759A2" w:rsidRDefault="006A527D"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$121,504</w:t>
            </w:r>
          </w:p>
        </w:tc>
      </w:tr>
      <w:tr w:rsidR="005759A2" w:rsidRPr="005759A2" w14:paraId="47211369"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1F510BC0"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2000 Support Services</w:t>
            </w:r>
          </w:p>
        </w:tc>
        <w:tc>
          <w:tcPr>
            <w:tcW w:w="116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033C8F3C"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454F930A"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18C8C0DA"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689B29FC"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23A68AA1"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211C0A99"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AF28393"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2100 Students </w:t>
            </w:r>
          </w:p>
        </w:tc>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4AE95D7"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w:t>
            </w:r>
          </w:p>
        </w:tc>
        <w:tc>
          <w:tcPr>
            <w:tcW w:w="124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8B7211C"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w:t>
            </w:r>
          </w:p>
        </w:tc>
        <w:tc>
          <w:tcPr>
            <w:tcW w:w="10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47E1E5F"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w:t>
            </w:r>
          </w:p>
        </w:tc>
        <w:tc>
          <w:tcPr>
            <w:tcW w:w="10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55FC4E7"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611BA11" w14:textId="2A56DD57" w:rsidR="005759A2" w:rsidRPr="005759A2" w:rsidRDefault="005759A2" w:rsidP="005759A2">
            <w:pPr>
              <w:rPr>
                <w:rFonts w:ascii="Calibri" w:eastAsia="Times New Roman" w:hAnsi="Calibri" w:cs="Times New Roman"/>
                <w:color w:val="000000"/>
                <w:sz w:val="18"/>
                <w:szCs w:val="18"/>
              </w:rPr>
            </w:pPr>
          </w:p>
        </w:tc>
      </w:tr>
      <w:tr w:rsidR="005759A2" w:rsidRPr="005759A2" w14:paraId="0E555706"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4BCF6320"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2200 Instruction </w:t>
            </w:r>
          </w:p>
        </w:tc>
        <w:tc>
          <w:tcPr>
            <w:tcW w:w="116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6E1AB0C4"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10FC4FDC"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3A9059C1"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4ED008BF"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1DEC53BE"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6395464A"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AF84117"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2300 General Administration </w:t>
            </w:r>
          </w:p>
        </w:tc>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0E60D3D"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49696A2"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01D848B"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7728B1B"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04F7701"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6F965CF4"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70B6786B"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2400 School Administration </w:t>
            </w:r>
          </w:p>
        </w:tc>
        <w:tc>
          <w:tcPr>
            <w:tcW w:w="116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2336A486"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025261B4"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2D7AF2A2"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60BB0C31"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02CF8E65"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38FD4631"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678F98C"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2500 Central Services</w:t>
            </w:r>
          </w:p>
        </w:tc>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A0A58D6"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9FECFA7"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F70FF33"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CFB36F3"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C77BF94"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5B5D787E"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677A8CD5"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2600 Operation &amp; Maintenance of Plant </w:t>
            </w:r>
          </w:p>
        </w:tc>
        <w:tc>
          <w:tcPr>
            <w:tcW w:w="116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6379A8B5"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4D4A2615"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30A3D6E9"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187875F9"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60529651"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4FF401EC"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BE45629"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2900 Other Support Services</w:t>
            </w:r>
          </w:p>
        </w:tc>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1CA3B4F"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6522C6C"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97F2CA3"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EE0375E"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AB8D5EE"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17E21230"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5EFA9B3E"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3000 Operation of Noninstructional Services</w:t>
            </w:r>
          </w:p>
        </w:tc>
        <w:tc>
          <w:tcPr>
            <w:tcW w:w="116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4F227190"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776B8B8F"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73D5DC84"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6E799F9F"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4AED97B7"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2EFF6513"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6E07295"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4000 Facilities Acquisition &amp; Construction </w:t>
            </w:r>
          </w:p>
        </w:tc>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B98B257"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BFEA93F"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3AF9041"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13DFA8F"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1C21DD6"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7FB1E58B"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16D54493"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5000 Debt Service</w:t>
            </w:r>
          </w:p>
        </w:tc>
        <w:tc>
          <w:tcPr>
            <w:tcW w:w="116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0EB47780"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3C59108A"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3FDC49F6"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010E3551"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19201AD4"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4597B063"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6C0097B"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Subtotal (lines 16-26)</w:t>
            </w:r>
          </w:p>
        </w:tc>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0389F34"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$175</w:t>
            </w:r>
          </w:p>
        </w:tc>
        <w:tc>
          <w:tcPr>
            <w:tcW w:w="124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74080D5"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$1,207</w:t>
            </w:r>
          </w:p>
        </w:tc>
        <w:tc>
          <w:tcPr>
            <w:tcW w:w="10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09B376F"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$118,073</w:t>
            </w:r>
          </w:p>
        </w:tc>
        <w:tc>
          <w:tcPr>
            <w:tcW w:w="10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DAA5ED0"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$2,049</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C0421F5"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$121,504</w:t>
            </w:r>
          </w:p>
        </w:tc>
      </w:tr>
      <w:tr w:rsidR="005759A2" w:rsidRPr="005759A2" w14:paraId="06AB2DE2"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67568D85"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300 Special Education Disability Title 8 PL 103-382 Add-On</w:t>
            </w:r>
          </w:p>
        </w:tc>
        <w:tc>
          <w:tcPr>
            <w:tcW w:w="116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7E80130F"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12682E4C"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41C4D939"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37CE41B7"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7EBBD36E"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7600CCE6"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00BE195"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400 Pupil Transportation</w:t>
            </w:r>
          </w:p>
        </w:tc>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2DA10F6"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2C95C59"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1E897E7"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3183D08"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3EA13A6"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3F13AEBE"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17C18EAA"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530 Dropout Prevention Programs</w:t>
            </w:r>
          </w:p>
        </w:tc>
        <w:tc>
          <w:tcPr>
            <w:tcW w:w="116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778AD404"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23F48980"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774BCAA3"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31A9D8EF"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5BF41D44"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0C19B01A"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1237E38"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540 Joint Career &amp; Technical Ed. &amp; Vocational Ed. Center</w:t>
            </w:r>
          </w:p>
        </w:tc>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9AE2A51"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99A6EEC"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49E1333"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F535F98"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C8742C8"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447422F8"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508586D3"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550 K-3 Reading</w:t>
            </w:r>
          </w:p>
        </w:tc>
        <w:tc>
          <w:tcPr>
            <w:tcW w:w="116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2D921B07"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5923B53B"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49EC8288"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11587D0A"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0AC1B61D"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2B7377C6"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66E52EB"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 xml:space="preserve">     Subtotal (lines 15 and 27-32)</w:t>
            </w:r>
          </w:p>
        </w:tc>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16FDE82"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$178,478</w:t>
            </w:r>
          </w:p>
        </w:tc>
        <w:tc>
          <w:tcPr>
            <w:tcW w:w="124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BB7F298"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$421,174</w:t>
            </w:r>
          </w:p>
        </w:tc>
        <w:tc>
          <w:tcPr>
            <w:tcW w:w="10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AE2BB76"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$2,518,250</w:t>
            </w:r>
          </w:p>
        </w:tc>
        <w:tc>
          <w:tcPr>
            <w:tcW w:w="10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73E7CA7"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$166,892</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340E3E4"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$3,284,794</w:t>
            </w:r>
          </w:p>
        </w:tc>
      </w:tr>
      <w:tr w:rsidR="005759A2" w:rsidRPr="005759A2" w14:paraId="06E3F770"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07C6A786"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Classroom Site Project (from page 4, line 14)</w:t>
            </w:r>
          </w:p>
        </w:tc>
        <w:tc>
          <w:tcPr>
            <w:tcW w:w="116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6B1562D2"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$12,430</w:t>
            </w:r>
          </w:p>
        </w:tc>
        <w:tc>
          <w:tcPr>
            <w:tcW w:w="124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2E7CF366"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$22,462</w:t>
            </w:r>
          </w:p>
        </w:tc>
        <w:tc>
          <w:tcPr>
            <w:tcW w:w="105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0A92531E"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$118,450</w:t>
            </w:r>
          </w:p>
        </w:tc>
        <w:tc>
          <w:tcPr>
            <w:tcW w:w="102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2A8B6F2E"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$5,498</w:t>
            </w:r>
          </w:p>
        </w:tc>
        <w:tc>
          <w:tcPr>
            <w:tcW w:w="1052"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423503EA"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$158,840</w:t>
            </w:r>
          </w:p>
        </w:tc>
      </w:tr>
      <w:tr w:rsidR="005759A2" w:rsidRPr="005759A2" w14:paraId="422CE1D9"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298257A"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Instructional Improvement Project (from page 5, line 5)</w:t>
            </w:r>
          </w:p>
        </w:tc>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1E2B673"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$1,582</w:t>
            </w:r>
          </w:p>
        </w:tc>
        <w:tc>
          <w:tcPr>
            <w:tcW w:w="124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17E40CF"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$4,093</w:t>
            </w:r>
          </w:p>
        </w:tc>
        <w:tc>
          <w:tcPr>
            <w:tcW w:w="10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388EF4F"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$35,553</w:t>
            </w:r>
          </w:p>
        </w:tc>
        <w:tc>
          <w:tcPr>
            <w:tcW w:w="10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75186B0"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$1,529</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DA8DCD7"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$42,757</w:t>
            </w:r>
          </w:p>
        </w:tc>
      </w:tr>
      <w:tr w:rsidR="005759A2" w:rsidRPr="005759A2" w14:paraId="710B41F6"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4EE10F15"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Structured English Immersion Project (from page 6, line 14)</w:t>
            </w:r>
          </w:p>
        </w:tc>
        <w:tc>
          <w:tcPr>
            <w:tcW w:w="116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2B0C7CE2"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191FC54B"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72E083E4"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2A30C421"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2BE0FB09"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2C475899"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7EE7553"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Compensatory Instruction Project (from page 6, line 28 )</w:t>
            </w:r>
          </w:p>
        </w:tc>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217CDD6"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6407F09"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3562C26"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BE88A44"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30D3217"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25B8B929"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481EC0EC" w14:textId="77777777" w:rsidR="005759A2" w:rsidRPr="005759A2" w:rsidRDefault="001D64A0" w:rsidP="005759A2">
            <w:pPr>
              <w:rPr>
                <w:rFonts w:ascii="Times New Roman" w:eastAsia="Times New Roman" w:hAnsi="Times New Roman" w:cs="Times New Roman"/>
                <w:color w:val="0000FF"/>
                <w:sz w:val="18"/>
                <w:szCs w:val="18"/>
              </w:rPr>
            </w:pPr>
            <w:hyperlink w:anchor="RANGE!FederalAndStateProjectsPage2" w:history="1">
              <w:r w:rsidR="005759A2" w:rsidRPr="005759A2">
                <w:rPr>
                  <w:rFonts w:ascii="Times New Roman" w:eastAsia="Times New Roman" w:hAnsi="Times New Roman" w:cs="Times New Roman"/>
                  <w:color w:val="0000FF"/>
                  <w:sz w:val="18"/>
                  <w:szCs w:val="18"/>
                </w:rPr>
                <w:t>Federal and State Projects (from page 9, line 31)</w:t>
              </w:r>
            </w:hyperlink>
          </w:p>
        </w:tc>
        <w:tc>
          <w:tcPr>
            <w:tcW w:w="116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5EDBF852"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24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37D252C8"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1ABE9933"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2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1D080B80"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$0</w:t>
            </w:r>
          </w:p>
        </w:tc>
        <w:tc>
          <w:tcPr>
            <w:tcW w:w="1052"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58ADFC66" w14:textId="77777777" w:rsidR="005759A2" w:rsidRPr="005759A2" w:rsidRDefault="005759A2" w:rsidP="005759A2">
            <w:pPr>
              <w:rPr>
                <w:rFonts w:ascii="Calibri" w:eastAsia="Times New Roman" w:hAnsi="Calibri" w:cs="Times New Roman"/>
                <w:color w:val="000000"/>
                <w:sz w:val="18"/>
                <w:szCs w:val="18"/>
              </w:rPr>
            </w:pPr>
            <w:r w:rsidRPr="005759A2">
              <w:rPr>
                <w:rFonts w:ascii="Calibri" w:eastAsia="Times New Roman" w:hAnsi="Calibri" w:cs="Times New Roman"/>
                <w:color w:val="000000"/>
                <w:sz w:val="18"/>
                <w:szCs w:val="18"/>
              </w:rPr>
              <w:t>$0</w:t>
            </w:r>
          </w:p>
        </w:tc>
      </w:tr>
      <w:tr w:rsidR="005759A2" w:rsidRPr="005759A2" w14:paraId="3E6533F4"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AA42725" w14:textId="5F0A1D3C" w:rsidR="005759A2" w:rsidRPr="005759A2" w:rsidRDefault="005759A2" w:rsidP="005759A2">
            <w:pPr>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w:t>
            </w:r>
            <w:r w:rsidRPr="005759A2">
              <w:rPr>
                <w:rFonts w:ascii="Times New Roman" w:eastAsia="Times New Roman" w:hAnsi="Times New Roman" w:cs="Times New Roman"/>
                <w:b/>
                <w:sz w:val="18"/>
                <w:szCs w:val="18"/>
              </w:rPr>
              <w:t>Total Expenditures</w:t>
            </w:r>
          </w:p>
        </w:tc>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67E9AB2" w14:textId="77777777" w:rsidR="005759A2" w:rsidRPr="005759A2" w:rsidRDefault="005759A2" w:rsidP="005759A2">
            <w:pPr>
              <w:rPr>
                <w:rFonts w:ascii="Times New Roman" w:eastAsia="Times New Roman" w:hAnsi="Times New Roman" w:cs="Times New Roman"/>
                <w:bCs/>
                <w:sz w:val="18"/>
                <w:szCs w:val="18"/>
              </w:rPr>
            </w:pPr>
            <w:r w:rsidRPr="005759A2">
              <w:rPr>
                <w:rFonts w:ascii="Times New Roman" w:eastAsia="Times New Roman" w:hAnsi="Times New Roman" w:cs="Times New Roman"/>
                <w:bCs/>
                <w:sz w:val="18"/>
                <w:szCs w:val="18"/>
              </w:rPr>
              <w:t>$192,490</w:t>
            </w:r>
          </w:p>
        </w:tc>
        <w:tc>
          <w:tcPr>
            <w:tcW w:w="124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20179DB" w14:textId="77777777" w:rsidR="005759A2" w:rsidRPr="005759A2" w:rsidRDefault="005759A2" w:rsidP="005759A2">
            <w:pPr>
              <w:rPr>
                <w:rFonts w:ascii="Times New Roman" w:eastAsia="Times New Roman" w:hAnsi="Times New Roman" w:cs="Times New Roman"/>
                <w:bCs/>
                <w:sz w:val="18"/>
                <w:szCs w:val="18"/>
              </w:rPr>
            </w:pPr>
            <w:r w:rsidRPr="005759A2">
              <w:rPr>
                <w:rFonts w:ascii="Times New Roman" w:eastAsia="Times New Roman" w:hAnsi="Times New Roman" w:cs="Times New Roman"/>
                <w:bCs/>
                <w:sz w:val="18"/>
                <w:szCs w:val="18"/>
              </w:rPr>
              <w:t>$447,729</w:t>
            </w:r>
          </w:p>
        </w:tc>
        <w:tc>
          <w:tcPr>
            <w:tcW w:w="10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DAC7C36" w14:textId="77777777" w:rsidR="005759A2" w:rsidRPr="005759A2" w:rsidRDefault="005759A2" w:rsidP="005759A2">
            <w:pPr>
              <w:rPr>
                <w:rFonts w:ascii="Times New Roman" w:eastAsia="Times New Roman" w:hAnsi="Times New Roman" w:cs="Times New Roman"/>
                <w:bCs/>
                <w:sz w:val="18"/>
                <w:szCs w:val="18"/>
              </w:rPr>
            </w:pPr>
            <w:r w:rsidRPr="005759A2">
              <w:rPr>
                <w:rFonts w:ascii="Times New Roman" w:eastAsia="Times New Roman" w:hAnsi="Times New Roman" w:cs="Times New Roman"/>
                <w:bCs/>
                <w:sz w:val="18"/>
                <w:szCs w:val="18"/>
              </w:rPr>
              <w:t>$2,672,253</w:t>
            </w:r>
          </w:p>
        </w:tc>
        <w:tc>
          <w:tcPr>
            <w:tcW w:w="10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D25D932" w14:textId="77777777" w:rsidR="005759A2" w:rsidRPr="005759A2" w:rsidRDefault="005759A2" w:rsidP="005759A2">
            <w:pPr>
              <w:rPr>
                <w:rFonts w:ascii="Times New Roman" w:eastAsia="Times New Roman" w:hAnsi="Times New Roman" w:cs="Times New Roman"/>
                <w:bCs/>
                <w:sz w:val="18"/>
                <w:szCs w:val="18"/>
              </w:rPr>
            </w:pPr>
            <w:r w:rsidRPr="005759A2">
              <w:rPr>
                <w:rFonts w:ascii="Times New Roman" w:eastAsia="Times New Roman" w:hAnsi="Times New Roman" w:cs="Times New Roman"/>
                <w:bCs/>
                <w:sz w:val="18"/>
                <w:szCs w:val="18"/>
              </w:rPr>
              <w:t>$173,919</w:t>
            </w:r>
          </w:p>
        </w:tc>
        <w:tc>
          <w:tcPr>
            <w:tcW w:w="1052" w:type="dxa"/>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200A18C6" w14:textId="77777777" w:rsidR="005759A2" w:rsidRPr="005759A2" w:rsidRDefault="005759A2" w:rsidP="005759A2">
            <w:pPr>
              <w:rPr>
                <w:rFonts w:ascii="Calibri" w:eastAsia="Times New Roman" w:hAnsi="Calibri" w:cs="Times New Roman"/>
                <w:b/>
                <w:bCs/>
                <w:color w:val="000000"/>
                <w:sz w:val="18"/>
                <w:szCs w:val="18"/>
              </w:rPr>
            </w:pPr>
            <w:r w:rsidRPr="005759A2">
              <w:rPr>
                <w:rFonts w:ascii="Calibri" w:eastAsia="Times New Roman" w:hAnsi="Calibri" w:cs="Times New Roman"/>
                <w:b/>
                <w:bCs/>
                <w:color w:val="000000"/>
                <w:sz w:val="18"/>
                <w:szCs w:val="18"/>
              </w:rPr>
              <w:t>$3,486,391</w:t>
            </w:r>
          </w:p>
        </w:tc>
      </w:tr>
      <w:tr w:rsidR="005759A2" w:rsidRPr="005759A2" w14:paraId="3CCB6C96"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4B86F12E" w14:textId="77777777" w:rsidR="005759A2" w:rsidRPr="005759A2" w:rsidRDefault="005759A2" w:rsidP="005759A2">
            <w:pPr>
              <w:rPr>
                <w:rFonts w:ascii="Times New Roman" w:eastAsia="Times New Roman" w:hAnsi="Times New Roman" w:cs="Times New Roman"/>
                <w:b/>
                <w:bCs/>
                <w:sz w:val="18"/>
                <w:szCs w:val="18"/>
              </w:rPr>
            </w:pPr>
            <w:r w:rsidRPr="005759A2">
              <w:rPr>
                <w:rFonts w:ascii="Times New Roman" w:eastAsia="Times New Roman" w:hAnsi="Times New Roman" w:cs="Times New Roman"/>
                <w:b/>
                <w:bCs/>
                <w:sz w:val="18"/>
                <w:szCs w:val="18"/>
              </w:rPr>
              <w:t>Total Revenue</w:t>
            </w:r>
          </w:p>
        </w:tc>
        <w:tc>
          <w:tcPr>
            <w:tcW w:w="116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12DF4DE0"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$308,516</w:t>
            </w:r>
          </w:p>
        </w:tc>
        <w:tc>
          <w:tcPr>
            <w:tcW w:w="124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1BBB4DE3"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$738,033</w:t>
            </w:r>
          </w:p>
        </w:tc>
        <w:tc>
          <w:tcPr>
            <w:tcW w:w="1059"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7BA7CA30"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$5,671,435</w:t>
            </w:r>
          </w:p>
        </w:tc>
        <w:tc>
          <w:tcPr>
            <w:tcW w:w="102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14:paraId="6F0493A3"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$242,678</w:t>
            </w:r>
          </w:p>
        </w:tc>
        <w:tc>
          <w:tcPr>
            <w:tcW w:w="1052" w:type="dxa"/>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1DA0CC54" w14:textId="77777777" w:rsidR="005759A2" w:rsidRPr="005759A2" w:rsidRDefault="005759A2" w:rsidP="005759A2">
            <w:pPr>
              <w:rPr>
                <w:rFonts w:ascii="Calibri" w:eastAsia="Times New Roman" w:hAnsi="Calibri" w:cs="Times New Roman"/>
                <w:b/>
                <w:color w:val="000000"/>
                <w:sz w:val="18"/>
                <w:szCs w:val="18"/>
              </w:rPr>
            </w:pPr>
            <w:r w:rsidRPr="005759A2">
              <w:rPr>
                <w:rFonts w:ascii="Calibri" w:eastAsia="Times New Roman" w:hAnsi="Calibri" w:cs="Times New Roman"/>
                <w:b/>
                <w:color w:val="000000"/>
                <w:sz w:val="18"/>
                <w:szCs w:val="18"/>
              </w:rPr>
              <w:t>$6,960,662</w:t>
            </w:r>
          </w:p>
        </w:tc>
      </w:tr>
      <w:tr w:rsidR="005759A2" w:rsidRPr="005759A2" w14:paraId="15821E38"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3118790" w14:textId="77777777" w:rsidR="005759A2" w:rsidRPr="005759A2" w:rsidRDefault="005759A2" w:rsidP="005759A2">
            <w:pPr>
              <w:rPr>
                <w:rFonts w:ascii="Times New Roman" w:eastAsia="Times New Roman" w:hAnsi="Times New Roman" w:cs="Times New Roman"/>
                <w:b/>
                <w:bCs/>
                <w:sz w:val="18"/>
                <w:szCs w:val="18"/>
              </w:rPr>
            </w:pPr>
            <w:r w:rsidRPr="005759A2">
              <w:rPr>
                <w:rFonts w:ascii="Times New Roman" w:eastAsia="Times New Roman" w:hAnsi="Times New Roman" w:cs="Times New Roman"/>
                <w:b/>
                <w:bCs/>
                <w:sz w:val="18"/>
                <w:szCs w:val="18"/>
              </w:rPr>
              <w:t>Profit</w:t>
            </w:r>
          </w:p>
        </w:tc>
        <w:tc>
          <w:tcPr>
            <w:tcW w:w="116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28A8DAF"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$116,026</w:t>
            </w:r>
          </w:p>
        </w:tc>
        <w:tc>
          <w:tcPr>
            <w:tcW w:w="124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86A3B69"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$290,304</w:t>
            </w:r>
          </w:p>
        </w:tc>
        <w:tc>
          <w:tcPr>
            <w:tcW w:w="10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E75CD89"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$2,999,182</w:t>
            </w:r>
          </w:p>
        </w:tc>
        <w:tc>
          <w:tcPr>
            <w:tcW w:w="1027"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85AE8EC" w14:textId="77777777" w:rsidR="005759A2" w:rsidRPr="005759A2" w:rsidRDefault="005759A2" w:rsidP="005759A2">
            <w:pPr>
              <w:rPr>
                <w:rFonts w:ascii="Times New Roman" w:eastAsia="Times New Roman" w:hAnsi="Times New Roman" w:cs="Times New Roman"/>
                <w:sz w:val="18"/>
                <w:szCs w:val="18"/>
              </w:rPr>
            </w:pPr>
            <w:r w:rsidRPr="005759A2">
              <w:rPr>
                <w:rFonts w:ascii="Times New Roman" w:eastAsia="Times New Roman" w:hAnsi="Times New Roman" w:cs="Times New Roman"/>
                <w:sz w:val="18"/>
                <w:szCs w:val="18"/>
              </w:rPr>
              <w:t>$68,759</w:t>
            </w:r>
          </w:p>
        </w:tc>
        <w:tc>
          <w:tcPr>
            <w:tcW w:w="1052" w:type="dxa"/>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12A66BCC" w14:textId="77777777" w:rsidR="005759A2" w:rsidRPr="005759A2" w:rsidRDefault="005759A2" w:rsidP="005759A2">
            <w:pPr>
              <w:rPr>
                <w:rFonts w:ascii="Calibri" w:eastAsia="Times New Roman" w:hAnsi="Calibri" w:cs="Times New Roman"/>
                <w:b/>
                <w:color w:val="000000"/>
                <w:sz w:val="18"/>
                <w:szCs w:val="18"/>
              </w:rPr>
            </w:pPr>
            <w:r w:rsidRPr="005759A2">
              <w:rPr>
                <w:rFonts w:ascii="Calibri" w:eastAsia="Times New Roman" w:hAnsi="Calibri" w:cs="Times New Roman"/>
                <w:b/>
                <w:color w:val="000000"/>
                <w:sz w:val="18"/>
                <w:szCs w:val="18"/>
              </w:rPr>
              <w:t>$3,474,271</w:t>
            </w:r>
          </w:p>
        </w:tc>
      </w:tr>
      <w:tr w:rsidR="005759A2" w:rsidRPr="005759A2" w14:paraId="2BB30D40" w14:textId="77777777" w:rsidTr="005759A2">
        <w:trPr>
          <w:trHeight w:val="300"/>
        </w:trPr>
        <w:tc>
          <w:tcPr>
            <w:tcW w:w="4460" w:type="dxa"/>
            <w:tcBorders>
              <w:top w:val="single" w:sz="4" w:space="0" w:color="auto"/>
              <w:left w:val="single" w:sz="4" w:space="0" w:color="auto"/>
              <w:bottom w:val="single" w:sz="4" w:space="0" w:color="auto"/>
              <w:right w:val="single" w:sz="4" w:space="0" w:color="auto"/>
            </w:tcBorders>
            <w:shd w:val="clear" w:color="000000" w:fill="3366FF"/>
            <w:noWrap/>
            <w:vAlign w:val="bottom"/>
            <w:hideMark/>
          </w:tcPr>
          <w:p w14:paraId="3BCE0B28" w14:textId="77777777" w:rsidR="005759A2" w:rsidRPr="005759A2" w:rsidRDefault="005759A2" w:rsidP="005759A2">
            <w:pPr>
              <w:rPr>
                <w:rFonts w:ascii="Calibri" w:eastAsia="Times New Roman" w:hAnsi="Calibri" w:cs="Times New Roman"/>
                <w:color w:val="000000"/>
                <w:sz w:val="22"/>
                <w:szCs w:val="22"/>
              </w:rPr>
            </w:pPr>
            <w:r w:rsidRPr="005759A2">
              <w:rPr>
                <w:rFonts w:ascii="Calibri" w:eastAsia="Times New Roman" w:hAnsi="Calibri" w:cs="Times New Roman"/>
                <w:color w:val="000000"/>
                <w:sz w:val="22"/>
                <w:szCs w:val="22"/>
              </w:rPr>
              <w:t> </w:t>
            </w:r>
          </w:p>
        </w:tc>
        <w:tc>
          <w:tcPr>
            <w:tcW w:w="1165" w:type="dxa"/>
            <w:tcBorders>
              <w:top w:val="single" w:sz="4" w:space="0" w:color="auto"/>
              <w:left w:val="nil"/>
              <w:bottom w:val="single" w:sz="4" w:space="0" w:color="auto"/>
              <w:right w:val="single" w:sz="4" w:space="0" w:color="auto"/>
            </w:tcBorders>
            <w:shd w:val="clear" w:color="000000" w:fill="3366FF"/>
            <w:noWrap/>
            <w:vAlign w:val="bottom"/>
            <w:hideMark/>
          </w:tcPr>
          <w:p w14:paraId="6A8EDBF0" w14:textId="77777777" w:rsidR="005759A2" w:rsidRPr="005759A2" w:rsidRDefault="005759A2" w:rsidP="005759A2">
            <w:pPr>
              <w:rPr>
                <w:rFonts w:ascii="Calibri" w:eastAsia="Times New Roman" w:hAnsi="Calibri" w:cs="Times New Roman"/>
                <w:color w:val="000000"/>
                <w:sz w:val="22"/>
                <w:szCs w:val="22"/>
              </w:rPr>
            </w:pPr>
            <w:r w:rsidRPr="005759A2">
              <w:rPr>
                <w:rFonts w:ascii="Calibri" w:eastAsia="Times New Roman" w:hAnsi="Calibri" w:cs="Times New Roman"/>
                <w:color w:val="000000"/>
                <w:sz w:val="22"/>
                <w:szCs w:val="22"/>
              </w:rPr>
              <w:t> </w:t>
            </w:r>
          </w:p>
        </w:tc>
        <w:tc>
          <w:tcPr>
            <w:tcW w:w="1245" w:type="dxa"/>
            <w:tcBorders>
              <w:top w:val="single" w:sz="4" w:space="0" w:color="auto"/>
              <w:left w:val="nil"/>
              <w:bottom w:val="single" w:sz="4" w:space="0" w:color="auto"/>
              <w:right w:val="single" w:sz="4" w:space="0" w:color="auto"/>
            </w:tcBorders>
            <w:shd w:val="clear" w:color="000000" w:fill="3366FF"/>
            <w:noWrap/>
            <w:vAlign w:val="bottom"/>
            <w:hideMark/>
          </w:tcPr>
          <w:p w14:paraId="0598814C" w14:textId="77777777" w:rsidR="005759A2" w:rsidRPr="005759A2" w:rsidRDefault="005759A2" w:rsidP="005759A2">
            <w:pPr>
              <w:rPr>
                <w:rFonts w:ascii="Calibri" w:eastAsia="Times New Roman" w:hAnsi="Calibri" w:cs="Times New Roman"/>
                <w:color w:val="000000"/>
                <w:sz w:val="22"/>
                <w:szCs w:val="22"/>
              </w:rPr>
            </w:pPr>
            <w:r w:rsidRPr="005759A2">
              <w:rPr>
                <w:rFonts w:ascii="Calibri" w:eastAsia="Times New Roman" w:hAnsi="Calibri" w:cs="Times New Roman"/>
                <w:color w:val="000000"/>
                <w:sz w:val="22"/>
                <w:szCs w:val="22"/>
              </w:rPr>
              <w:t> </w:t>
            </w:r>
          </w:p>
        </w:tc>
        <w:tc>
          <w:tcPr>
            <w:tcW w:w="1059" w:type="dxa"/>
            <w:tcBorders>
              <w:top w:val="single" w:sz="4" w:space="0" w:color="auto"/>
              <w:left w:val="nil"/>
              <w:bottom w:val="single" w:sz="4" w:space="0" w:color="auto"/>
              <w:right w:val="single" w:sz="4" w:space="0" w:color="auto"/>
            </w:tcBorders>
            <w:shd w:val="clear" w:color="000000" w:fill="3366FF"/>
            <w:noWrap/>
            <w:vAlign w:val="bottom"/>
            <w:hideMark/>
          </w:tcPr>
          <w:p w14:paraId="46A504CB" w14:textId="77777777" w:rsidR="005759A2" w:rsidRPr="005759A2" w:rsidRDefault="005759A2" w:rsidP="005759A2">
            <w:pPr>
              <w:rPr>
                <w:rFonts w:ascii="Calibri" w:eastAsia="Times New Roman" w:hAnsi="Calibri" w:cs="Times New Roman"/>
                <w:color w:val="000000"/>
                <w:sz w:val="22"/>
                <w:szCs w:val="22"/>
              </w:rPr>
            </w:pPr>
            <w:r w:rsidRPr="005759A2">
              <w:rPr>
                <w:rFonts w:ascii="Calibri" w:eastAsia="Times New Roman" w:hAnsi="Calibri" w:cs="Times New Roman"/>
                <w:color w:val="000000"/>
                <w:sz w:val="22"/>
                <w:szCs w:val="22"/>
              </w:rPr>
              <w:t> </w:t>
            </w:r>
          </w:p>
        </w:tc>
        <w:tc>
          <w:tcPr>
            <w:tcW w:w="1027" w:type="dxa"/>
            <w:tcBorders>
              <w:top w:val="single" w:sz="4" w:space="0" w:color="auto"/>
              <w:left w:val="nil"/>
              <w:bottom w:val="single" w:sz="4" w:space="0" w:color="auto"/>
              <w:right w:val="single" w:sz="4" w:space="0" w:color="auto"/>
            </w:tcBorders>
            <w:shd w:val="clear" w:color="000000" w:fill="3366FF"/>
            <w:noWrap/>
            <w:vAlign w:val="bottom"/>
            <w:hideMark/>
          </w:tcPr>
          <w:p w14:paraId="43B5C4D3" w14:textId="77777777" w:rsidR="005759A2" w:rsidRPr="005759A2" w:rsidRDefault="005759A2" w:rsidP="005759A2">
            <w:pPr>
              <w:rPr>
                <w:rFonts w:ascii="Calibri" w:eastAsia="Times New Roman" w:hAnsi="Calibri" w:cs="Times New Roman"/>
                <w:color w:val="000000"/>
                <w:sz w:val="22"/>
                <w:szCs w:val="22"/>
              </w:rPr>
            </w:pPr>
            <w:r w:rsidRPr="005759A2">
              <w:rPr>
                <w:rFonts w:ascii="Calibri" w:eastAsia="Times New Roman" w:hAnsi="Calibri" w:cs="Times New Roman"/>
                <w:color w:val="000000"/>
                <w:sz w:val="22"/>
                <w:szCs w:val="22"/>
              </w:rPr>
              <w:t> </w:t>
            </w:r>
          </w:p>
        </w:tc>
        <w:tc>
          <w:tcPr>
            <w:tcW w:w="1052" w:type="dxa"/>
            <w:tcBorders>
              <w:top w:val="single" w:sz="4" w:space="0" w:color="auto"/>
              <w:left w:val="nil"/>
              <w:bottom w:val="single" w:sz="4" w:space="0" w:color="auto"/>
              <w:right w:val="single" w:sz="4" w:space="0" w:color="auto"/>
            </w:tcBorders>
            <w:shd w:val="clear" w:color="000000" w:fill="3366FF"/>
            <w:noWrap/>
            <w:vAlign w:val="bottom"/>
            <w:hideMark/>
          </w:tcPr>
          <w:p w14:paraId="2F4CADC4" w14:textId="77777777" w:rsidR="005759A2" w:rsidRPr="005759A2" w:rsidRDefault="005759A2" w:rsidP="005759A2">
            <w:pPr>
              <w:rPr>
                <w:rFonts w:ascii="Calibri" w:eastAsia="Times New Roman" w:hAnsi="Calibri" w:cs="Times New Roman"/>
                <w:color w:val="000000"/>
                <w:sz w:val="22"/>
                <w:szCs w:val="22"/>
              </w:rPr>
            </w:pPr>
            <w:r w:rsidRPr="005759A2">
              <w:rPr>
                <w:rFonts w:ascii="Calibri" w:eastAsia="Times New Roman" w:hAnsi="Calibri" w:cs="Times New Roman"/>
                <w:color w:val="000000"/>
                <w:sz w:val="22"/>
                <w:szCs w:val="22"/>
              </w:rPr>
              <w:t> </w:t>
            </w:r>
          </w:p>
        </w:tc>
      </w:tr>
    </w:tbl>
    <w:p w14:paraId="339D901C" w14:textId="77777777" w:rsidR="00686246" w:rsidRDefault="00686246"/>
    <w:p w14:paraId="0FFF4BF5" w14:textId="7DC61160" w:rsidR="004670FC" w:rsidRPr="001D64A0" w:rsidRDefault="004670FC" w:rsidP="004670FC">
      <w:pPr>
        <w:rPr>
          <w:rFonts w:eastAsia="Times New Roman" w:cs="Times New Roman"/>
          <w:b/>
          <w:color w:val="000000"/>
        </w:rPr>
      </w:pPr>
      <w:r w:rsidRPr="001D64A0">
        <w:t xml:space="preserve">Pinnacle </w:t>
      </w:r>
      <w:r w:rsidR="00727266" w:rsidRPr="001D64A0">
        <w:t>Education</w:t>
      </w:r>
      <w:r w:rsidRPr="001D64A0">
        <w:t xml:space="preserve"> spent a total of $3,486,391 to operate the four schools and made </w:t>
      </w:r>
      <w:r w:rsidRPr="001D64A0">
        <w:rPr>
          <w:rFonts w:eastAsia="Times New Roman" w:cs="Times New Roman"/>
          <w:color w:val="000000"/>
        </w:rPr>
        <w:t>$3,474,271 in profit.  Note all of the zeroes above.  They reflect all of the programs Pinnacle does not offer.</w:t>
      </w:r>
    </w:p>
    <w:p w14:paraId="5011BF82" w14:textId="77777777" w:rsidR="00A05BF4" w:rsidRPr="004670FC" w:rsidRDefault="00A05BF4"/>
    <w:p w14:paraId="53ECBF55" w14:textId="67042350" w:rsidR="00A05BF4" w:rsidRPr="004670FC" w:rsidRDefault="00A05BF4" w:rsidP="00A05BF4">
      <w:r w:rsidRPr="004670FC">
        <w:t>The Arizona State Board for Charter Sch</w:t>
      </w:r>
      <w:r w:rsidR="001D64A0">
        <w:t>ools is the only agency allowed</w:t>
      </w:r>
      <w:r w:rsidRPr="004670FC">
        <w:t xml:space="preserve"> by law to regulate Arizona charter schools</w:t>
      </w:r>
      <w:r w:rsidR="00686246">
        <w:t xml:space="preserve">.   Here is the Charter Board’s </w:t>
      </w:r>
      <w:r w:rsidR="00610545">
        <w:t xml:space="preserve">financial </w:t>
      </w:r>
      <w:r w:rsidR="00686246">
        <w:t>a</w:t>
      </w:r>
      <w:r w:rsidRPr="004670FC">
        <w:t xml:space="preserve">ssessment </w:t>
      </w:r>
      <w:r w:rsidR="00610545">
        <w:t xml:space="preserve">of </w:t>
      </w:r>
      <w:r w:rsidRPr="004670FC">
        <w:t xml:space="preserve">Pinnacle </w:t>
      </w:r>
      <w:r w:rsidR="00610545">
        <w:t>Casa Grande</w:t>
      </w:r>
      <w:r w:rsidRPr="004670FC">
        <w:t>:</w:t>
      </w:r>
    </w:p>
    <w:p w14:paraId="3C75094E" w14:textId="77777777" w:rsidR="00A05BF4" w:rsidRPr="004670FC" w:rsidRDefault="00A05BF4" w:rsidP="00A05BF4"/>
    <w:p w14:paraId="70F2BE9D" w14:textId="77777777" w:rsidR="00A05BF4" w:rsidRDefault="00A05BF4">
      <w:r>
        <w:rPr>
          <w:noProof/>
        </w:rPr>
        <w:drawing>
          <wp:inline distT="0" distB="0" distL="0" distR="0" wp14:anchorId="7C94B2F5" wp14:editId="6FA261A7">
            <wp:extent cx="5486400" cy="3155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nacle CG Financial Dashboard.png"/>
                    <pic:cNvPicPr/>
                  </pic:nvPicPr>
                  <pic:blipFill>
                    <a:blip r:embed="rId8">
                      <a:extLst>
                        <a:ext uri="{28A0092B-C50C-407E-A947-70E740481C1C}">
                          <a14:useLocalDpi xmlns:a14="http://schemas.microsoft.com/office/drawing/2010/main" val="0"/>
                        </a:ext>
                      </a:extLst>
                    </a:blip>
                    <a:stretch>
                      <a:fillRect/>
                    </a:stretch>
                  </pic:blipFill>
                  <pic:spPr>
                    <a:xfrm>
                      <a:off x="0" y="0"/>
                      <a:ext cx="5489236" cy="3156945"/>
                    </a:xfrm>
                    <a:prstGeom prst="rect">
                      <a:avLst/>
                    </a:prstGeom>
                  </pic:spPr>
                </pic:pic>
              </a:graphicData>
            </a:graphic>
          </wp:inline>
        </w:drawing>
      </w:r>
    </w:p>
    <w:p w14:paraId="2B877F9A" w14:textId="77777777" w:rsidR="006372B0" w:rsidRDefault="006372B0"/>
    <w:p w14:paraId="08370673" w14:textId="5907FF2C" w:rsidR="00A05BF4" w:rsidRDefault="00A05BF4">
      <w:r>
        <w:t>Pi</w:t>
      </w:r>
      <w:r w:rsidR="004D2049">
        <w:t xml:space="preserve">nnacle </w:t>
      </w:r>
      <w:r w:rsidR="00727266">
        <w:t xml:space="preserve">Education </w:t>
      </w:r>
      <w:r w:rsidR="004D2049">
        <w:t>meets the requirements in</w:t>
      </w:r>
      <w:r>
        <w:t xml:space="preserve"> every area evaluated by the Charter </w:t>
      </w:r>
      <w:r w:rsidR="006A527D">
        <w:t>Board.</w:t>
      </w:r>
      <w:r>
        <w:t xml:space="preserve">  The </w:t>
      </w:r>
      <w:r w:rsidR="004D2049">
        <w:t xml:space="preserve">Charter </w:t>
      </w:r>
      <w:r>
        <w:t xml:space="preserve">Board is only concerned that the charter is a viable business.  Pinnacle </w:t>
      </w:r>
      <w:r w:rsidR="00727266">
        <w:t>Education</w:t>
      </w:r>
      <w:r w:rsidR="004D2049">
        <w:t xml:space="preserve"> </w:t>
      </w:r>
      <w:r>
        <w:t>runs a business that generates as much profit as they spend.  You can’t argue that’s not a gre</w:t>
      </w:r>
      <w:r w:rsidR="00610545">
        <w:t>at business.  The question is: i</w:t>
      </w:r>
      <w:r>
        <w:t>s it good business for the taxpayers of Arizona?</w:t>
      </w:r>
    </w:p>
    <w:p w14:paraId="41FF128A" w14:textId="77777777" w:rsidR="00A05BF4" w:rsidRDefault="00A05BF4"/>
    <w:p w14:paraId="71770AC7" w14:textId="77777777" w:rsidR="000A200F" w:rsidRPr="006372B0" w:rsidRDefault="006372B0">
      <w:pPr>
        <w:rPr>
          <w:b/>
        </w:rPr>
      </w:pPr>
      <w:r w:rsidRPr="00A77329">
        <w:rPr>
          <w:b/>
        </w:rPr>
        <w:t xml:space="preserve">Pinnacle MGRM </w:t>
      </w:r>
    </w:p>
    <w:p w14:paraId="7EE55B8A" w14:textId="35C75A36" w:rsidR="000A200F" w:rsidRDefault="006372B0">
      <w:r w:rsidRPr="006372B0">
        <w:t xml:space="preserve"> MGRM (Multi-domain Global Relationship Management</w:t>
      </w:r>
      <w:r w:rsidR="006A527D" w:rsidRPr="006372B0">
        <w:t>)</w:t>
      </w:r>
      <w:r>
        <w:t xml:space="preserve"> provides products for doz</w:t>
      </w:r>
      <w:r w:rsidR="000A200F">
        <w:t>ens of indus</w:t>
      </w:r>
      <w:r w:rsidR="00610545">
        <w:t>tries including pharmaceuticals,</w:t>
      </w:r>
      <w:r w:rsidR="000A200F">
        <w:t xml:space="preserve"> insurance, automotive, medical, finance, government, constr</w:t>
      </w:r>
      <w:r>
        <w:t xml:space="preserve">uction, </w:t>
      </w:r>
      <w:r w:rsidR="00A77329">
        <w:t xml:space="preserve">as well as education. </w:t>
      </w:r>
    </w:p>
    <w:p w14:paraId="27FE1013" w14:textId="3305E2AA" w:rsidR="00610545" w:rsidRPr="004670FC" w:rsidRDefault="000A200F" w:rsidP="000A200F">
      <w:pPr>
        <w:pStyle w:val="NormalWeb"/>
        <w:rPr>
          <w:sz w:val="24"/>
          <w:szCs w:val="24"/>
        </w:rPr>
      </w:pPr>
      <w:r w:rsidRPr="004670FC">
        <w:rPr>
          <w:sz w:val="24"/>
          <w:szCs w:val="24"/>
        </w:rPr>
        <w:t>MGRM has one of the most unique c</w:t>
      </w:r>
      <w:r w:rsidR="004670FC">
        <w:rPr>
          <w:sz w:val="24"/>
          <w:szCs w:val="24"/>
        </w:rPr>
        <w:t>o</w:t>
      </w:r>
      <w:r w:rsidR="00610545">
        <w:rPr>
          <w:sz w:val="24"/>
          <w:szCs w:val="24"/>
        </w:rPr>
        <w:t>r</w:t>
      </w:r>
      <w:r w:rsidR="004670FC">
        <w:rPr>
          <w:sz w:val="24"/>
          <w:szCs w:val="24"/>
        </w:rPr>
        <w:t>p</w:t>
      </w:r>
      <w:r w:rsidR="004D2049">
        <w:rPr>
          <w:sz w:val="24"/>
          <w:szCs w:val="24"/>
        </w:rPr>
        <w:t>o</w:t>
      </w:r>
      <w:r w:rsidR="004670FC">
        <w:rPr>
          <w:sz w:val="24"/>
          <w:szCs w:val="24"/>
        </w:rPr>
        <w:t xml:space="preserve">rate </w:t>
      </w:r>
      <w:r w:rsidR="004D2049">
        <w:rPr>
          <w:sz w:val="24"/>
          <w:szCs w:val="24"/>
        </w:rPr>
        <w:t>mission statements around as evidenced below:</w:t>
      </w:r>
      <w:r w:rsidR="004670FC">
        <w:rPr>
          <w:sz w:val="24"/>
          <w:szCs w:val="24"/>
        </w:rPr>
        <w:t xml:space="preserve"> </w:t>
      </w:r>
      <w:r w:rsidR="00610545">
        <w:rPr>
          <w:sz w:val="24"/>
          <w:szCs w:val="24"/>
        </w:rPr>
        <w:t>(The entire mission statement is in Appendix 1. There isn’t a corporate mission statement like it anywhere. It is worth reading).</w:t>
      </w:r>
    </w:p>
    <w:p w14:paraId="532DC9D0" w14:textId="77777777" w:rsidR="00430755" w:rsidRPr="004D2049" w:rsidRDefault="000A200F" w:rsidP="00EF6C93">
      <w:pPr>
        <w:pStyle w:val="NormalWeb"/>
        <w:rPr>
          <w:i/>
          <w:sz w:val="22"/>
          <w:szCs w:val="22"/>
        </w:rPr>
      </w:pPr>
      <w:r w:rsidRPr="004D2049">
        <w:rPr>
          <w:i/>
          <w:sz w:val="22"/>
          <w:szCs w:val="22"/>
        </w:rPr>
        <w:t>MGRM's Research and Process</w:t>
      </w:r>
      <w:r w:rsidRPr="004D2049">
        <w:rPr>
          <w:i/>
          <w:sz w:val="22"/>
          <w:szCs w:val="22"/>
        </w:rPr>
        <w:softHyphen/>
        <w:t xml:space="preserve"> based Technologies have the capability of efficiently and effectively addressing physical, psychological and social problems, setting Ultimate Rehabilitation as a process to achieve </w:t>
      </w:r>
      <w:r w:rsidRPr="004D2049">
        <w:rPr>
          <w:rStyle w:val="Strong"/>
          <w:i/>
          <w:sz w:val="22"/>
          <w:szCs w:val="22"/>
        </w:rPr>
        <w:t>One World ... One Solution</w:t>
      </w:r>
      <w:r w:rsidRPr="004D2049">
        <w:rPr>
          <w:i/>
          <w:sz w:val="22"/>
          <w:szCs w:val="22"/>
        </w:rPr>
        <w:t>.</w:t>
      </w:r>
    </w:p>
    <w:p w14:paraId="2A3109AD" w14:textId="4AC0FEFE" w:rsidR="00430755" w:rsidRPr="00610545" w:rsidRDefault="009A2A07" w:rsidP="00EF6C93">
      <w:pPr>
        <w:pStyle w:val="NormalWeb"/>
        <w:rPr>
          <w:sz w:val="24"/>
          <w:szCs w:val="24"/>
        </w:rPr>
      </w:pPr>
      <w:r w:rsidRPr="004670FC">
        <w:rPr>
          <w:sz w:val="24"/>
          <w:szCs w:val="24"/>
        </w:rPr>
        <w:t xml:space="preserve">Pinnacle </w:t>
      </w:r>
      <w:r w:rsidR="00727266">
        <w:rPr>
          <w:sz w:val="24"/>
          <w:szCs w:val="24"/>
        </w:rPr>
        <w:t xml:space="preserve">Education </w:t>
      </w:r>
      <w:r w:rsidR="006372B0" w:rsidRPr="004670FC">
        <w:rPr>
          <w:sz w:val="24"/>
          <w:szCs w:val="24"/>
        </w:rPr>
        <w:t xml:space="preserve">MGRM </w:t>
      </w:r>
      <w:r w:rsidRPr="004670FC">
        <w:rPr>
          <w:sz w:val="24"/>
          <w:szCs w:val="24"/>
        </w:rPr>
        <w:t>charter schools rely primarily</w:t>
      </w:r>
      <w:r w:rsidR="00430755">
        <w:rPr>
          <w:sz w:val="24"/>
          <w:szCs w:val="24"/>
        </w:rPr>
        <w:t xml:space="preserve"> on </w:t>
      </w:r>
      <w:r w:rsidRPr="004670FC">
        <w:rPr>
          <w:sz w:val="24"/>
          <w:szCs w:val="24"/>
        </w:rPr>
        <w:t>the</w:t>
      </w:r>
      <w:r w:rsidR="00430755">
        <w:rPr>
          <w:sz w:val="24"/>
          <w:szCs w:val="24"/>
        </w:rPr>
        <w:t>ir</w:t>
      </w:r>
      <w:r w:rsidRPr="004670FC">
        <w:rPr>
          <w:sz w:val="24"/>
          <w:szCs w:val="24"/>
        </w:rPr>
        <w:t xml:space="preserve"> software</w:t>
      </w:r>
      <w:r w:rsidR="00307083" w:rsidRPr="004670FC">
        <w:rPr>
          <w:sz w:val="24"/>
          <w:szCs w:val="24"/>
        </w:rPr>
        <w:t>,</w:t>
      </w:r>
      <w:r w:rsidRPr="004670FC">
        <w:rPr>
          <w:sz w:val="24"/>
          <w:szCs w:val="24"/>
        </w:rPr>
        <w:t xml:space="preserve"> </w:t>
      </w:r>
      <w:r w:rsidR="003D3921" w:rsidRPr="004670FC">
        <w:rPr>
          <w:sz w:val="24"/>
          <w:szCs w:val="24"/>
        </w:rPr>
        <w:t>MGRM</w:t>
      </w:r>
      <w:r w:rsidR="003D3921">
        <w:rPr>
          <w:sz w:val="24"/>
          <w:szCs w:val="24"/>
        </w:rPr>
        <w:t xml:space="preserve">’s </w:t>
      </w:r>
      <w:r w:rsidRPr="004670FC">
        <w:rPr>
          <w:sz w:val="24"/>
          <w:szCs w:val="24"/>
        </w:rPr>
        <w:t>M-Star – LSP</w:t>
      </w:r>
      <w:r w:rsidR="00307083" w:rsidRPr="004670FC">
        <w:rPr>
          <w:sz w:val="24"/>
          <w:szCs w:val="24"/>
        </w:rPr>
        <w:t>,</w:t>
      </w:r>
      <w:r w:rsidR="00610545">
        <w:rPr>
          <w:sz w:val="24"/>
          <w:szCs w:val="24"/>
        </w:rPr>
        <w:t xml:space="preserve"> </w:t>
      </w:r>
      <w:r w:rsidR="004D2049">
        <w:rPr>
          <w:sz w:val="24"/>
          <w:szCs w:val="24"/>
        </w:rPr>
        <w:t>which</w:t>
      </w:r>
      <w:r w:rsidRPr="004670FC">
        <w:rPr>
          <w:sz w:val="24"/>
          <w:szCs w:val="24"/>
        </w:rPr>
        <w:t xml:space="preserve"> provides</w:t>
      </w:r>
      <w:r w:rsidR="006372B0" w:rsidRPr="004670FC">
        <w:rPr>
          <w:sz w:val="24"/>
          <w:szCs w:val="24"/>
        </w:rPr>
        <w:t xml:space="preserve"> learning </w:t>
      </w:r>
      <w:r w:rsidRPr="004670FC">
        <w:rPr>
          <w:sz w:val="24"/>
          <w:szCs w:val="24"/>
        </w:rPr>
        <w:t>management and cour</w:t>
      </w:r>
      <w:r w:rsidR="003D3921">
        <w:rPr>
          <w:sz w:val="24"/>
          <w:szCs w:val="24"/>
        </w:rPr>
        <w:t xml:space="preserve">seware for grades 6-12.   The Pinnacle </w:t>
      </w:r>
      <w:r w:rsidR="00727266">
        <w:rPr>
          <w:sz w:val="24"/>
          <w:szCs w:val="24"/>
        </w:rPr>
        <w:t xml:space="preserve">Education </w:t>
      </w:r>
      <w:r w:rsidR="006A527D">
        <w:rPr>
          <w:sz w:val="24"/>
          <w:szCs w:val="24"/>
        </w:rPr>
        <w:t>schools receive</w:t>
      </w:r>
      <w:r w:rsidR="00727266">
        <w:rPr>
          <w:sz w:val="24"/>
          <w:szCs w:val="24"/>
        </w:rPr>
        <w:t xml:space="preserve"> 99</w:t>
      </w:r>
      <w:r w:rsidR="006A527D" w:rsidRPr="004670FC">
        <w:rPr>
          <w:sz w:val="24"/>
          <w:szCs w:val="24"/>
        </w:rPr>
        <w:t xml:space="preserve">% of </w:t>
      </w:r>
      <w:r w:rsidR="006A527D">
        <w:rPr>
          <w:sz w:val="24"/>
          <w:szCs w:val="24"/>
        </w:rPr>
        <w:t>their funding</w:t>
      </w:r>
      <w:r w:rsidR="006A527D" w:rsidRPr="004670FC">
        <w:rPr>
          <w:sz w:val="24"/>
          <w:szCs w:val="24"/>
        </w:rPr>
        <w:t xml:space="preserve"> from the Arizona’s general fund and operate</w:t>
      </w:r>
      <w:r w:rsidRPr="004670FC">
        <w:rPr>
          <w:sz w:val="24"/>
          <w:szCs w:val="24"/>
        </w:rPr>
        <w:t xml:space="preserve"> the schools with half of the </w:t>
      </w:r>
      <w:r w:rsidR="00686246">
        <w:rPr>
          <w:sz w:val="24"/>
          <w:szCs w:val="24"/>
        </w:rPr>
        <w:t>money</w:t>
      </w:r>
      <w:r w:rsidRPr="004670FC">
        <w:rPr>
          <w:sz w:val="24"/>
          <w:szCs w:val="24"/>
        </w:rPr>
        <w:t xml:space="preserve"> provided by the state.</w:t>
      </w:r>
      <w:r w:rsidR="000A200F" w:rsidRPr="004670FC">
        <w:rPr>
          <w:sz w:val="24"/>
          <w:szCs w:val="24"/>
        </w:rPr>
        <w:t xml:space="preserve"> The other half is returned to MGRM </w:t>
      </w:r>
      <w:r w:rsidR="00686246">
        <w:rPr>
          <w:sz w:val="24"/>
          <w:szCs w:val="24"/>
        </w:rPr>
        <w:t xml:space="preserve">corporate </w:t>
      </w:r>
      <w:r w:rsidR="000A200F" w:rsidRPr="004670FC">
        <w:rPr>
          <w:sz w:val="24"/>
          <w:szCs w:val="24"/>
        </w:rPr>
        <w:t xml:space="preserve">as profit.  </w:t>
      </w:r>
    </w:p>
    <w:p w14:paraId="4361C0A5" w14:textId="6176289F" w:rsidR="00DE46FF" w:rsidRPr="00CE2697" w:rsidRDefault="00A77329">
      <w:pPr>
        <w:rPr>
          <w:b/>
        </w:rPr>
      </w:pPr>
      <w:r w:rsidRPr="00823A6B">
        <w:rPr>
          <w:b/>
        </w:rPr>
        <w:t xml:space="preserve">How is it possible to only spend half of the available </w:t>
      </w:r>
      <w:r w:rsidR="008D0D9E">
        <w:rPr>
          <w:b/>
        </w:rPr>
        <w:t xml:space="preserve">tax </w:t>
      </w:r>
      <w:r w:rsidRPr="00823A6B">
        <w:rPr>
          <w:b/>
        </w:rPr>
        <w:t>resources?</w:t>
      </w:r>
    </w:p>
    <w:p w14:paraId="18285F9F" w14:textId="33A787F4" w:rsidR="00DE46FF" w:rsidRDefault="00DE46FF" w:rsidP="00DE46FF">
      <w:r>
        <w:t xml:space="preserve">Pinnacle MGRM </w:t>
      </w:r>
      <w:r w:rsidR="004D2049">
        <w:t>is</w:t>
      </w:r>
      <w:r>
        <w:t xml:space="preserve"> not the only online charter </w:t>
      </w:r>
      <w:r w:rsidR="004D2049">
        <w:t>company</w:t>
      </w:r>
      <w:r>
        <w:t xml:space="preserve"> making outrageous profi</w:t>
      </w:r>
      <w:r w:rsidR="00334FB4">
        <w:t xml:space="preserve">ts in Arizona. </w:t>
      </w:r>
      <w:r w:rsidR="00A77329" w:rsidRPr="00DE46FF">
        <w:t>ACSA rece</w:t>
      </w:r>
      <w:r w:rsidRPr="00DE46FF">
        <w:t>ntly reported that another for-</w:t>
      </w:r>
      <w:r w:rsidR="00A77329" w:rsidRPr="00DE46FF">
        <w:t xml:space="preserve">profit online charter school, Primavera Online High School, made $10 million </w:t>
      </w:r>
      <w:r w:rsidR="00334FB4">
        <w:t xml:space="preserve">in </w:t>
      </w:r>
      <w:r w:rsidR="00A77329" w:rsidRPr="00DE46FF">
        <w:t>profit in 2016 and paid a related firm $13 mill</w:t>
      </w:r>
      <w:r w:rsidR="00334FB4">
        <w:t>ion in software licensing fees – out of a total bu</w:t>
      </w:r>
      <w:r w:rsidR="001D64A0">
        <w:t>dget of about $4</w:t>
      </w:r>
      <w:r w:rsidR="004D2049">
        <w:t>0 million.</w:t>
      </w:r>
      <w:r w:rsidR="004D2049">
        <w:rPr>
          <w:rStyle w:val="FootnoteReference"/>
        </w:rPr>
        <w:footnoteReference w:id="1"/>
      </w:r>
      <w:r w:rsidR="00A77329" w:rsidRPr="00DE46FF">
        <w:t xml:space="preserve"> Online chart</w:t>
      </w:r>
      <w:r w:rsidR="00334FB4">
        <w:t>er schoo</w:t>
      </w:r>
      <w:r w:rsidRPr="00DE46FF">
        <w:t>ls in Arizona receive 95</w:t>
      </w:r>
      <w:r w:rsidR="00A77329" w:rsidRPr="00DE46FF">
        <w:t>% of the revenue regular charters receive for full-time st</w:t>
      </w:r>
      <w:r w:rsidR="006A527D">
        <w:t>udents and 85% of revenue for pa</w:t>
      </w:r>
      <w:r w:rsidR="00A77329" w:rsidRPr="00DE46FF">
        <w:t>rt-time high school students.  The</w:t>
      </w:r>
      <w:r w:rsidR="00686246">
        <w:t>y</w:t>
      </w:r>
      <w:r w:rsidR="00A77329" w:rsidRPr="00DE46FF">
        <w:t xml:space="preserve"> receive the </w:t>
      </w:r>
      <w:r w:rsidR="00686246">
        <w:t>same</w:t>
      </w:r>
      <w:r w:rsidR="00A77329" w:rsidRPr="00DE46FF">
        <w:t xml:space="preserve"> charter add-on of $1700</w:t>
      </w:r>
      <w:r w:rsidRPr="00DE46FF">
        <w:t xml:space="preserve">/pupil for K-8 and $2000/pupil </w:t>
      </w:r>
      <w:r w:rsidR="00A77329" w:rsidRPr="00DE46FF">
        <w:t xml:space="preserve">for 9-12 </w:t>
      </w:r>
      <w:r w:rsidRPr="00DE46FF">
        <w:t>as non-on line charter schools receive</w:t>
      </w:r>
      <w:r w:rsidR="001D64A0">
        <w:t xml:space="preserve"> to pay for equipment and facilities.</w:t>
      </w:r>
      <w:r w:rsidR="00FE44EA">
        <w:rPr>
          <w:rStyle w:val="FootnoteReference"/>
        </w:rPr>
        <w:footnoteReference w:id="2"/>
      </w:r>
    </w:p>
    <w:p w14:paraId="6DB0C94A" w14:textId="77777777" w:rsidR="00686246" w:rsidRDefault="00686246" w:rsidP="00DE46FF">
      <w:pPr>
        <w:rPr>
          <w:color w:val="800080"/>
          <w:u w:val="single"/>
        </w:rPr>
      </w:pPr>
    </w:p>
    <w:p w14:paraId="5FE91CE5" w14:textId="48BAB914" w:rsidR="00DE46FF" w:rsidRDefault="00DE46FF" w:rsidP="00DE46FF">
      <w:r>
        <w:t xml:space="preserve">These online schools have </w:t>
      </w:r>
      <w:r w:rsidR="00FA06EB">
        <w:t>few</w:t>
      </w:r>
      <w:r w:rsidR="006A527D">
        <w:t xml:space="preserve"> expenses for facilities,</w:t>
      </w:r>
      <w:r>
        <w:t xml:space="preserve"> teachers, and support staff.</w:t>
      </w:r>
      <w:r w:rsidR="00FA06EB">
        <w:t xml:space="preserve">  There is no transportation, cafeteria, nurse, librarian,</w:t>
      </w:r>
      <w:r>
        <w:t xml:space="preserve"> music teacher, </w:t>
      </w:r>
      <w:r w:rsidR="00FA06EB">
        <w:t xml:space="preserve">or art teacher.  </w:t>
      </w:r>
      <w:r>
        <w:t>There a just a minimum number of teachers available</w:t>
      </w:r>
      <w:r w:rsidR="00686246">
        <w:t xml:space="preserve"> to assist students as they navi</w:t>
      </w:r>
      <w:r>
        <w:t>gate the computer i</w:t>
      </w:r>
      <w:r w:rsidR="006A527D">
        <w:t>nstruction</w:t>
      </w:r>
      <w:r>
        <w:t>,</w:t>
      </w:r>
      <w:r w:rsidR="00FA06EB">
        <w:t xml:space="preserve"> </w:t>
      </w:r>
      <w:r w:rsidR="001D64A0">
        <w:t>often</w:t>
      </w:r>
      <w:bookmarkStart w:id="0" w:name="_GoBack"/>
      <w:bookmarkEnd w:id="0"/>
      <w:r>
        <w:t xml:space="preserve"> by email and telephone.  </w:t>
      </w:r>
    </w:p>
    <w:p w14:paraId="0D0657A2" w14:textId="77777777" w:rsidR="00DE46FF" w:rsidRDefault="00DE46FF" w:rsidP="00DE46FF"/>
    <w:p w14:paraId="667C63E4" w14:textId="69033AD3" w:rsidR="00DE2688" w:rsidRDefault="006A527D" w:rsidP="00DE2688">
      <w:r>
        <w:t xml:space="preserve">Online charter schools are funded at a much higher level than public districts.  </w:t>
      </w:r>
      <w:r w:rsidR="00FA06EB">
        <w:t>Arizona</w:t>
      </w:r>
      <w:r>
        <w:t>’s</w:t>
      </w:r>
      <w:r w:rsidR="00FA06EB">
        <w:t xml:space="preserve"> on</w:t>
      </w:r>
      <w:r w:rsidR="00DE46FF">
        <w:t xml:space="preserve">-line schools receive 95% of the revenue of a regular charter </w:t>
      </w:r>
      <w:r w:rsidR="00823A6B">
        <w:t>school plus the additional</w:t>
      </w:r>
      <w:r w:rsidR="00DE46FF">
        <w:t xml:space="preserve"> </w:t>
      </w:r>
      <w:r w:rsidR="00823A6B">
        <w:t xml:space="preserve">charter </w:t>
      </w:r>
      <w:r w:rsidR="00DE46FF">
        <w:t>add-on of $1700-$2000</w:t>
      </w:r>
      <w:r w:rsidR="00686246">
        <w:t>/pupil</w:t>
      </w:r>
      <w:r w:rsidR="00DE46FF">
        <w:t xml:space="preserve"> that public districts do not receive</w:t>
      </w:r>
      <w:r w:rsidR="00823A6B">
        <w:t xml:space="preserve">.  Pinnacle </w:t>
      </w:r>
      <w:r w:rsidR="00727266">
        <w:t xml:space="preserve">Education </w:t>
      </w:r>
      <w:r w:rsidR="00823A6B">
        <w:t>MGRM</w:t>
      </w:r>
      <w:r w:rsidR="00334FB4">
        <w:t xml:space="preserve"> and Primavera Online receive</w:t>
      </w:r>
      <w:r w:rsidR="00823A6B">
        <w:t xml:space="preserve"> substantially more revenue from the state of Arizona than any public district, </w:t>
      </w:r>
      <w:r w:rsidR="00FA06EB">
        <w:t xml:space="preserve">while </w:t>
      </w:r>
      <w:r w:rsidR="00823A6B">
        <w:t xml:space="preserve">providing just a fraction of the programs every comprehensive public district </w:t>
      </w:r>
      <w:r w:rsidR="00FA06EB">
        <w:t>must</w:t>
      </w:r>
      <w:r w:rsidR="00823A6B">
        <w:t xml:space="preserve"> provide. </w:t>
      </w:r>
      <w:r w:rsidR="00DE2688">
        <w:t xml:space="preserve"> On-line charter schools are ridiculously over-funded – to the point th</w:t>
      </w:r>
      <w:r>
        <w:t xml:space="preserve">at Pinnacle and Primavera </w:t>
      </w:r>
      <w:r w:rsidR="00DE2688">
        <w:t xml:space="preserve">can operate with half of the funds they receive, and reap the other half as profit. </w:t>
      </w:r>
    </w:p>
    <w:p w14:paraId="298C4F2F" w14:textId="21682BB7" w:rsidR="008D0D9E" w:rsidRDefault="008D0D9E" w:rsidP="00DE46FF"/>
    <w:p w14:paraId="06C67EAB" w14:textId="77777777" w:rsidR="008D0D9E" w:rsidRPr="008D0D9E" w:rsidRDefault="008D0D9E" w:rsidP="00DE46FF">
      <w:pPr>
        <w:rPr>
          <w:b/>
        </w:rPr>
      </w:pPr>
      <w:r w:rsidRPr="008D0D9E">
        <w:rPr>
          <w:b/>
        </w:rPr>
        <w:t>Conclusions:</w:t>
      </w:r>
    </w:p>
    <w:p w14:paraId="07F60944" w14:textId="52486A8D" w:rsidR="00FA06EB" w:rsidRDefault="00FA06EB" w:rsidP="00DE46FF">
      <w:r>
        <w:t xml:space="preserve">If the Arizona Auditor General were to release a report every year documenting the expenditures of charter schools, people would likely sit up and take notice when it is clear that on-line charter schools make tens of millions of dollars in profit every year.  Arizona </w:t>
      </w:r>
      <w:r w:rsidR="006A527D">
        <w:t>spending on</w:t>
      </w:r>
      <w:r>
        <w:t xml:space="preserve"> public schools </w:t>
      </w:r>
      <w:r w:rsidR="006A527D">
        <w:t xml:space="preserve">is among the lowest </w:t>
      </w:r>
      <w:r>
        <w:t>in the U.S. – every dollar is precious.  But in Arizona, charter schools go largely unregulated to the point that, by law, the Auditor General cannot monitor charter schools spending.</w:t>
      </w:r>
    </w:p>
    <w:p w14:paraId="04CE3073" w14:textId="77777777" w:rsidR="008D0D9E" w:rsidRDefault="008D0D9E" w:rsidP="00DE46FF"/>
    <w:p w14:paraId="75256ED6" w14:textId="3BF4A7B7" w:rsidR="008D0D9E" w:rsidRDefault="008D0D9E" w:rsidP="00DE46FF">
      <w:r>
        <w:t xml:space="preserve">But Arizonans for Charter School Accountability </w:t>
      </w:r>
      <w:r w:rsidR="006A527D">
        <w:t xml:space="preserve">does monitor charter spending, </w:t>
      </w:r>
      <w:r>
        <w:t>collecting the data from all 411 charter holders’ 2016 annual financial reports, the same report the Auditor General uses to monitor public districts. The data are shocking.  Waste, fraud and abuse are rampant in Arizona Charter schools.</w:t>
      </w:r>
      <w:r w:rsidR="007D03CA" w:rsidRPr="007D03CA">
        <w:rPr>
          <w:rStyle w:val="FootnoteReference"/>
        </w:rPr>
        <w:t xml:space="preserve"> </w:t>
      </w:r>
      <w:r w:rsidR="007D03CA">
        <w:rPr>
          <w:rStyle w:val="FootnoteReference"/>
        </w:rPr>
        <w:footnoteReference w:id="3"/>
      </w:r>
      <w:r>
        <w:t xml:space="preserve">  Pinnacle </w:t>
      </w:r>
      <w:r w:rsidR="00727266">
        <w:t xml:space="preserve">Education </w:t>
      </w:r>
      <w:r>
        <w:t>MGRM is a perfect example.</w:t>
      </w:r>
    </w:p>
    <w:p w14:paraId="3819F763" w14:textId="77777777" w:rsidR="008D0D9E" w:rsidRDefault="008D0D9E" w:rsidP="00DE46FF"/>
    <w:p w14:paraId="57345D51" w14:textId="77777777" w:rsidR="008D0D9E" w:rsidRPr="00430755" w:rsidRDefault="008D0D9E" w:rsidP="00DE46FF">
      <w:pPr>
        <w:rPr>
          <w:b/>
        </w:rPr>
      </w:pPr>
      <w:r w:rsidRPr="008D0D9E">
        <w:rPr>
          <w:b/>
        </w:rPr>
        <w:t>Recommendations:</w:t>
      </w:r>
    </w:p>
    <w:p w14:paraId="0EECC9CA" w14:textId="77777777" w:rsidR="008D0D9E" w:rsidRDefault="008D0D9E" w:rsidP="008D0D9E">
      <w:pPr>
        <w:pStyle w:val="ListParagraph"/>
        <w:numPr>
          <w:ilvl w:val="0"/>
          <w:numId w:val="1"/>
        </w:numPr>
        <w:rPr>
          <w:rFonts w:ascii="Calibri" w:eastAsia="Times New Roman" w:hAnsi="Calibri" w:cs="Times New Roman"/>
          <w:color w:val="000000"/>
        </w:rPr>
      </w:pPr>
      <w:r w:rsidRPr="0060685B">
        <w:rPr>
          <w:rFonts w:ascii="Calibri" w:eastAsia="Times New Roman" w:hAnsi="Calibri" w:cs="Times New Roman"/>
          <w:color w:val="000000"/>
        </w:rPr>
        <w:t>Arizonans need to d</w:t>
      </w:r>
      <w:r>
        <w:rPr>
          <w:rFonts w:ascii="Calibri" w:eastAsia="Times New Roman" w:hAnsi="Calibri" w:cs="Times New Roman"/>
          <w:color w:val="000000"/>
        </w:rPr>
        <w:t>emand that the Arizona Auditor G</w:t>
      </w:r>
      <w:r w:rsidRPr="0060685B">
        <w:rPr>
          <w:rFonts w:ascii="Calibri" w:eastAsia="Times New Roman" w:hAnsi="Calibri" w:cs="Times New Roman"/>
          <w:color w:val="000000"/>
        </w:rPr>
        <w:t>eneral monitor charter school spending</w:t>
      </w:r>
      <w:r>
        <w:rPr>
          <w:rFonts w:ascii="Calibri" w:eastAsia="Times New Roman" w:hAnsi="Calibri" w:cs="Times New Roman"/>
          <w:color w:val="000000"/>
        </w:rPr>
        <w:t>.</w:t>
      </w:r>
      <w:r w:rsidRPr="0060685B">
        <w:rPr>
          <w:rFonts w:ascii="Calibri" w:eastAsia="Times New Roman" w:hAnsi="Calibri" w:cs="Times New Roman"/>
          <w:color w:val="000000"/>
        </w:rPr>
        <w:t xml:space="preserve"> </w:t>
      </w:r>
    </w:p>
    <w:p w14:paraId="2D060A4C" w14:textId="77777777" w:rsidR="008D0D9E" w:rsidRDefault="008D0D9E" w:rsidP="008D0D9E">
      <w:pPr>
        <w:pStyle w:val="ListParagraph"/>
        <w:numPr>
          <w:ilvl w:val="0"/>
          <w:numId w:val="1"/>
        </w:numPr>
        <w:rPr>
          <w:rFonts w:ascii="Calibri" w:eastAsia="Times New Roman" w:hAnsi="Calibri" w:cs="Times New Roman"/>
          <w:color w:val="000000"/>
        </w:rPr>
      </w:pPr>
      <w:r>
        <w:rPr>
          <w:rFonts w:ascii="Calibri" w:eastAsia="Times New Roman" w:hAnsi="Calibri" w:cs="Times New Roman"/>
          <w:color w:val="000000"/>
        </w:rPr>
        <w:t>The Arizona Legislature needs to revise the funding formula for online schools.  They cost much less to operate and the savings are going straight to corporate profits.</w:t>
      </w:r>
    </w:p>
    <w:p w14:paraId="500674E1" w14:textId="3257E271" w:rsidR="00610545" w:rsidRPr="00610545" w:rsidRDefault="008D0D9E" w:rsidP="00610545">
      <w:pPr>
        <w:pStyle w:val="ListParagraph"/>
        <w:numPr>
          <w:ilvl w:val="0"/>
          <w:numId w:val="1"/>
        </w:numPr>
        <w:rPr>
          <w:rFonts w:ascii="Calibri" w:eastAsia="Times New Roman" w:hAnsi="Calibri" w:cs="Times New Roman"/>
          <w:color w:val="000000"/>
        </w:rPr>
      </w:pPr>
      <w:r>
        <w:rPr>
          <w:rFonts w:ascii="Calibri" w:eastAsia="Times New Roman" w:hAnsi="Calibri" w:cs="Times New Roman"/>
          <w:color w:val="000000"/>
        </w:rPr>
        <w:t>The</w:t>
      </w:r>
      <w:r w:rsidRPr="0060685B">
        <w:rPr>
          <w:rFonts w:ascii="Calibri" w:eastAsia="Times New Roman" w:hAnsi="Calibri" w:cs="Times New Roman"/>
          <w:color w:val="000000"/>
        </w:rPr>
        <w:t xml:space="preserve"> Arizona State Board for Charter Schools </w:t>
      </w:r>
      <w:r>
        <w:rPr>
          <w:rFonts w:ascii="Calibri" w:eastAsia="Times New Roman" w:hAnsi="Calibri" w:cs="Times New Roman"/>
          <w:color w:val="000000"/>
        </w:rPr>
        <w:t>needs to step up and</w:t>
      </w:r>
      <w:r w:rsidRPr="0060685B">
        <w:rPr>
          <w:rFonts w:ascii="Calibri" w:eastAsia="Times New Roman" w:hAnsi="Calibri" w:cs="Times New Roman"/>
          <w:color w:val="000000"/>
        </w:rPr>
        <w:t xml:space="preserve"> sanction charter holders that </w:t>
      </w:r>
      <w:r>
        <w:rPr>
          <w:rFonts w:ascii="Calibri" w:eastAsia="Times New Roman" w:hAnsi="Calibri" w:cs="Times New Roman"/>
          <w:color w:val="000000"/>
        </w:rPr>
        <w:t>misuse tax funds for personal gain.</w:t>
      </w:r>
    </w:p>
    <w:p w14:paraId="50C0F475" w14:textId="77777777" w:rsidR="00A77329" w:rsidRDefault="00A77329"/>
    <w:p w14:paraId="3BD9B4DB" w14:textId="77777777" w:rsidR="006A527D" w:rsidRDefault="006A527D"/>
    <w:p w14:paraId="0D0149AF" w14:textId="77777777" w:rsidR="00CE2697" w:rsidRDefault="00CE2697"/>
    <w:p w14:paraId="45971159" w14:textId="77777777" w:rsidR="006A527D" w:rsidRDefault="006A527D"/>
    <w:p w14:paraId="156F128F" w14:textId="63D9610C" w:rsidR="00A77329" w:rsidRDefault="00610545" w:rsidP="00430755">
      <w:pPr>
        <w:jc w:val="center"/>
        <w:rPr>
          <w:b/>
        </w:rPr>
      </w:pPr>
      <w:r>
        <w:rPr>
          <w:b/>
        </w:rPr>
        <w:t xml:space="preserve">Appendix </w:t>
      </w:r>
    </w:p>
    <w:p w14:paraId="6127BA8F" w14:textId="77777777" w:rsidR="00430755" w:rsidRDefault="00430755" w:rsidP="00430755">
      <w:pPr>
        <w:pStyle w:val="NormalWeb"/>
        <w:rPr>
          <w:i/>
        </w:rPr>
      </w:pPr>
      <w:r w:rsidRPr="00430755">
        <w:t>The MGRM corporate mission statement</w:t>
      </w:r>
      <w:r>
        <w:t xml:space="preserve"> found at</w:t>
      </w:r>
      <w:r>
        <w:rPr>
          <w:i/>
        </w:rPr>
        <w:t xml:space="preserve">:   </w:t>
      </w:r>
      <w:hyperlink r:id="rId9" w:history="1">
        <w:r w:rsidRPr="00896C5C">
          <w:rPr>
            <w:rStyle w:val="Hyperlink"/>
            <w:i/>
          </w:rPr>
          <w:t>http://www.mgrm.com/</w:t>
        </w:r>
      </w:hyperlink>
    </w:p>
    <w:p w14:paraId="4C2CEC25" w14:textId="77777777" w:rsidR="00A77329" w:rsidRPr="00EF6C93" w:rsidRDefault="00430755" w:rsidP="00A77329">
      <w:pPr>
        <w:pStyle w:val="NormalWeb"/>
        <w:rPr>
          <w:i/>
        </w:rPr>
      </w:pPr>
      <w:r>
        <w:rPr>
          <w:i/>
        </w:rPr>
        <w:t>“</w:t>
      </w:r>
      <w:r w:rsidR="00A77329" w:rsidRPr="00EF6C93">
        <w:rPr>
          <w:i/>
        </w:rPr>
        <w:t>MGRM (Multi-domain Global Relationship Management), recognizes the urgent need for an absolute commitment towards achieving this goal in order to conserve our society for the future generations. MGRM believes that the root cause of the problems inflicting the modern society are the negative forces existing within individuals and it is the individuals that should be addressed in all the dimensions to overcome problems. MGRM's Research and Process</w:t>
      </w:r>
      <w:r w:rsidR="00A77329" w:rsidRPr="00EF6C93">
        <w:rPr>
          <w:i/>
        </w:rPr>
        <w:softHyphen/>
        <w:t xml:space="preserve"> based Technologies have the capability of efficiently and effectively addressing physical, psychological and social problems, setting Ultimate Rehabilitation as a process to achieve </w:t>
      </w:r>
      <w:r w:rsidR="00A77329" w:rsidRPr="00EF6C93">
        <w:rPr>
          <w:rStyle w:val="Strong"/>
          <w:i/>
        </w:rPr>
        <w:t>One World ... One Solution</w:t>
      </w:r>
      <w:r w:rsidR="00A77329" w:rsidRPr="00EF6C93">
        <w:rPr>
          <w:i/>
        </w:rPr>
        <w:t>.</w:t>
      </w:r>
    </w:p>
    <w:p w14:paraId="726C2C5E" w14:textId="77777777" w:rsidR="00A77329" w:rsidRPr="00EF6C93" w:rsidRDefault="00A77329" w:rsidP="00A77329">
      <w:pPr>
        <w:pStyle w:val="NormalWeb"/>
        <w:rPr>
          <w:i/>
        </w:rPr>
      </w:pPr>
      <w:r w:rsidRPr="00EF6C93">
        <w:rPr>
          <w:i/>
        </w:rPr>
        <w:t>All beings on this planet – plants, animals, etc., except humans – are able to have harmony in their lives during their existence. The lack of harmony in humans, within themselves, amongst themselves and with nature, has lead to several problems faced by humanity – terrorism, poverty, crime, aids, war, etc.</w:t>
      </w:r>
    </w:p>
    <w:p w14:paraId="3AEF05B0" w14:textId="77777777" w:rsidR="00A77329" w:rsidRPr="00EF6C93" w:rsidRDefault="00A77329" w:rsidP="00A77329">
      <w:pPr>
        <w:pStyle w:val="NormalWeb"/>
        <w:rPr>
          <w:i/>
        </w:rPr>
      </w:pPr>
      <w:r w:rsidRPr="00EF6C93">
        <w:rPr>
          <w:i/>
        </w:rPr>
        <w:t>It is important and necessary to bring back harmony into human lives in the three dimensions – physical, psychological and social, which will lead them to the 4th dimension evolving as “spiritual” entities, at peace with themselves, amongst themselves and with nature. This will enable humans to evolve from “Individuals to Complete Personalities”.</w:t>
      </w:r>
    </w:p>
    <w:p w14:paraId="7EBA0E5F" w14:textId="77777777" w:rsidR="00A77329" w:rsidRPr="00EF6C93" w:rsidRDefault="00A77329" w:rsidP="00A77329">
      <w:pPr>
        <w:pStyle w:val="NormalWeb"/>
        <w:rPr>
          <w:i/>
        </w:rPr>
      </w:pPr>
      <w:r w:rsidRPr="00EF6C93">
        <w:rPr>
          <w:i/>
        </w:rPr>
        <w:t>MGRM specializes in recognizing the physical, psychological and social needs, rather than wants, of a person at every stage of the Human Life Cycle and addressing them through a variety of applications, tools, services and products.</w:t>
      </w:r>
    </w:p>
    <w:p w14:paraId="42C63FC2" w14:textId="77777777" w:rsidR="00A77329" w:rsidRDefault="00A77329" w:rsidP="00A77329">
      <w:pPr>
        <w:pStyle w:val="NormalWeb"/>
        <w:rPr>
          <w:i/>
        </w:rPr>
      </w:pPr>
      <w:r w:rsidRPr="00EF6C93">
        <w:rPr>
          <w:i/>
        </w:rPr>
        <w:t>All MGRM Group Companies are committed towards the vision of "Ultimate Rehabilitation of the Human Race", and the mission "To make an individual, a Complete Personality".</w:t>
      </w:r>
      <w:r>
        <w:rPr>
          <w:i/>
        </w:rPr>
        <w:t xml:space="preserve">   </w:t>
      </w:r>
    </w:p>
    <w:p w14:paraId="4A88C905" w14:textId="77777777" w:rsidR="00A77329" w:rsidRPr="00EF6C93" w:rsidRDefault="00A77329" w:rsidP="00A77329"/>
    <w:sectPr w:rsidR="00A77329" w:rsidRPr="00EF6C93" w:rsidSect="004670F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BAF16" w14:textId="77777777" w:rsidR="00727266" w:rsidRDefault="00727266" w:rsidP="004D2049">
      <w:r>
        <w:separator/>
      </w:r>
    </w:p>
  </w:endnote>
  <w:endnote w:type="continuationSeparator" w:id="0">
    <w:p w14:paraId="7A0E6EA7" w14:textId="77777777" w:rsidR="00727266" w:rsidRDefault="00727266" w:rsidP="004D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93F3A" w14:textId="77777777" w:rsidR="00727266" w:rsidRDefault="00727266" w:rsidP="004D2049">
      <w:r>
        <w:separator/>
      </w:r>
    </w:p>
  </w:footnote>
  <w:footnote w:type="continuationSeparator" w:id="0">
    <w:p w14:paraId="7D0CB49C" w14:textId="77777777" w:rsidR="00727266" w:rsidRDefault="00727266" w:rsidP="004D2049">
      <w:r>
        <w:continuationSeparator/>
      </w:r>
    </w:p>
  </w:footnote>
  <w:footnote w:id="1">
    <w:p w14:paraId="63AD3466" w14:textId="77777777" w:rsidR="00727266" w:rsidRPr="00FE44EA" w:rsidRDefault="00727266">
      <w:pPr>
        <w:pStyle w:val="FootnoteText"/>
        <w:rPr>
          <w:sz w:val="22"/>
          <w:szCs w:val="22"/>
        </w:rPr>
      </w:pPr>
      <w:r>
        <w:rPr>
          <w:rStyle w:val="FootnoteReference"/>
        </w:rPr>
        <w:footnoteRef/>
      </w:r>
      <w:r>
        <w:t xml:space="preserve"> </w:t>
      </w:r>
      <w:r w:rsidRPr="00FE44EA">
        <w:rPr>
          <w:sz w:val="22"/>
          <w:szCs w:val="22"/>
        </w:rPr>
        <w:t>The full report on Primavera Online is at azcsa.org</w:t>
      </w:r>
    </w:p>
  </w:footnote>
  <w:footnote w:id="2">
    <w:p w14:paraId="14E2D6AB" w14:textId="03D60D4D" w:rsidR="00727266" w:rsidRPr="00343D55" w:rsidRDefault="00727266" w:rsidP="00343D55">
      <w:pPr>
        <w:rPr>
          <w:sz w:val="22"/>
          <w:szCs w:val="22"/>
          <w:u w:val="single"/>
        </w:rPr>
      </w:pPr>
      <w:r w:rsidRPr="00FE44EA">
        <w:rPr>
          <w:rStyle w:val="FootnoteReference"/>
          <w:sz w:val="22"/>
          <w:szCs w:val="22"/>
        </w:rPr>
        <w:footnoteRef/>
      </w:r>
      <w:r w:rsidRPr="00FE44EA">
        <w:rPr>
          <w:sz w:val="22"/>
          <w:szCs w:val="22"/>
        </w:rPr>
        <w:t xml:space="preserve"> </w:t>
      </w:r>
      <w:r>
        <w:rPr>
          <w:sz w:val="22"/>
          <w:szCs w:val="22"/>
        </w:rPr>
        <w:t xml:space="preserve">A.R.S. </w:t>
      </w:r>
      <w:r w:rsidRPr="00FE44EA">
        <w:rPr>
          <w:sz w:val="22"/>
          <w:szCs w:val="22"/>
        </w:rPr>
        <w:t>15-808. Arizona online instruction; reports; definitions</w:t>
      </w:r>
      <w:r>
        <w:rPr>
          <w:sz w:val="22"/>
          <w:szCs w:val="22"/>
        </w:rPr>
        <w:t xml:space="preserve"> at </w:t>
      </w:r>
      <w:r w:rsidRPr="00DE2688">
        <w:rPr>
          <w:sz w:val="22"/>
          <w:szCs w:val="22"/>
        </w:rPr>
        <w:t>http://www.azleg.gov/ars/15/00808.htm</w:t>
      </w:r>
    </w:p>
  </w:footnote>
  <w:footnote w:id="3">
    <w:p w14:paraId="58B479EC" w14:textId="77777777" w:rsidR="00727266" w:rsidRDefault="00727266" w:rsidP="007D03CA">
      <w:pPr>
        <w:pStyle w:val="FootnoteText"/>
      </w:pPr>
      <w:r>
        <w:rPr>
          <w:rStyle w:val="FootnoteReference"/>
        </w:rPr>
        <w:footnoteRef/>
      </w:r>
      <w:r>
        <w:t xml:space="preserve"> </w:t>
      </w:r>
      <w:r w:rsidRPr="007D03CA">
        <w:rPr>
          <w:sz w:val="22"/>
          <w:szCs w:val="22"/>
        </w:rPr>
        <w:t>See our website for all reports on charter school classroom spending for 2016 at azcsa.org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E699E"/>
    <w:multiLevelType w:val="hybridMultilevel"/>
    <w:tmpl w:val="C8CCBDB6"/>
    <w:lvl w:ilvl="0" w:tplc="4440CFD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0D"/>
    <w:rsid w:val="000A200F"/>
    <w:rsid w:val="000C1E43"/>
    <w:rsid w:val="001D64A0"/>
    <w:rsid w:val="00307083"/>
    <w:rsid w:val="00334FB4"/>
    <w:rsid w:val="00343D55"/>
    <w:rsid w:val="003D3921"/>
    <w:rsid w:val="00430755"/>
    <w:rsid w:val="004670FC"/>
    <w:rsid w:val="004D2049"/>
    <w:rsid w:val="005759A2"/>
    <w:rsid w:val="00610545"/>
    <w:rsid w:val="006372B0"/>
    <w:rsid w:val="00686246"/>
    <w:rsid w:val="006A527D"/>
    <w:rsid w:val="00727266"/>
    <w:rsid w:val="00740DFE"/>
    <w:rsid w:val="007D03CA"/>
    <w:rsid w:val="00823A6B"/>
    <w:rsid w:val="008D0D9E"/>
    <w:rsid w:val="009A2A07"/>
    <w:rsid w:val="00A05BF4"/>
    <w:rsid w:val="00A77329"/>
    <w:rsid w:val="00CE2697"/>
    <w:rsid w:val="00D6360D"/>
    <w:rsid w:val="00DE2688"/>
    <w:rsid w:val="00DE46FF"/>
    <w:rsid w:val="00EE2565"/>
    <w:rsid w:val="00EF6C93"/>
    <w:rsid w:val="00F24F3C"/>
    <w:rsid w:val="00FA06EB"/>
    <w:rsid w:val="00FE44EA"/>
    <w:rsid w:val="00FE5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BAA6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C9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F6C93"/>
    <w:rPr>
      <w:b/>
      <w:bCs/>
    </w:rPr>
  </w:style>
  <w:style w:type="character" w:styleId="Hyperlink">
    <w:name w:val="Hyperlink"/>
    <w:basedOn w:val="DefaultParagraphFont"/>
    <w:uiPriority w:val="99"/>
    <w:unhideWhenUsed/>
    <w:rsid w:val="00EF6C93"/>
    <w:rPr>
      <w:color w:val="0000FF" w:themeColor="hyperlink"/>
      <w:u w:val="single"/>
    </w:rPr>
  </w:style>
  <w:style w:type="paragraph" w:styleId="ListParagraph">
    <w:name w:val="List Paragraph"/>
    <w:basedOn w:val="Normal"/>
    <w:uiPriority w:val="34"/>
    <w:qFormat/>
    <w:rsid w:val="008D0D9E"/>
    <w:pPr>
      <w:ind w:left="720"/>
      <w:contextualSpacing/>
    </w:pPr>
  </w:style>
  <w:style w:type="paragraph" w:styleId="BalloonText">
    <w:name w:val="Balloon Text"/>
    <w:basedOn w:val="Normal"/>
    <w:link w:val="BalloonTextChar"/>
    <w:uiPriority w:val="99"/>
    <w:semiHidden/>
    <w:unhideWhenUsed/>
    <w:rsid w:val="00A05B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BF4"/>
    <w:rPr>
      <w:rFonts w:ascii="Lucida Grande" w:hAnsi="Lucida Grande" w:cs="Lucida Grande"/>
      <w:sz w:val="18"/>
      <w:szCs w:val="18"/>
    </w:rPr>
  </w:style>
  <w:style w:type="paragraph" w:styleId="FootnoteText">
    <w:name w:val="footnote text"/>
    <w:basedOn w:val="Normal"/>
    <w:link w:val="FootnoteTextChar"/>
    <w:uiPriority w:val="99"/>
    <w:unhideWhenUsed/>
    <w:rsid w:val="004D2049"/>
  </w:style>
  <w:style w:type="character" w:customStyle="1" w:styleId="FootnoteTextChar">
    <w:name w:val="Footnote Text Char"/>
    <w:basedOn w:val="DefaultParagraphFont"/>
    <w:link w:val="FootnoteText"/>
    <w:uiPriority w:val="99"/>
    <w:rsid w:val="004D2049"/>
  </w:style>
  <w:style w:type="character" w:styleId="FootnoteReference">
    <w:name w:val="footnote reference"/>
    <w:basedOn w:val="DefaultParagraphFont"/>
    <w:uiPriority w:val="99"/>
    <w:unhideWhenUsed/>
    <w:rsid w:val="004D204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C9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F6C93"/>
    <w:rPr>
      <w:b/>
      <w:bCs/>
    </w:rPr>
  </w:style>
  <w:style w:type="character" w:styleId="Hyperlink">
    <w:name w:val="Hyperlink"/>
    <w:basedOn w:val="DefaultParagraphFont"/>
    <w:uiPriority w:val="99"/>
    <w:unhideWhenUsed/>
    <w:rsid w:val="00EF6C93"/>
    <w:rPr>
      <w:color w:val="0000FF" w:themeColor="hyperlink"/>
      <w:u w:val="single"/>
    </w:rPr>
  </w:style>
  <w:style w:type="paragraph" w:styleId="ListParagraph">
    <w:name w:val="List Paragraph"/>
    <w:basedOn w:val="Normal"/>
    <w:uiPriority w:val="34"/>
    <w:qFormat/>
    <w:rsid w:val="008D0D9E"/>
    <w:pPr>
      <w:ind w:left="720"/>
      <w:contextualSpacing/>
    </w:pPr>
  </w:style>
  <w:style w:type="paragraph" w:styleId="BalloonText">
    <w:name w:val="Balloon Text"/>
    <w:basedOn w:val="Normal"/>
    <w:link w:val="BalloonTextChar"/>
    <w:uiPriority w:val="99"/>
    <w:semiHidden/>
    <w:unhideWhenUsed/>
    <w:rsid w:val="00A05B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BF4"/>
    <w:rPr>
      <w:rFonts w:ascii="Lucida Grande" w:hAnsi="Lucida Grande" w:cs="Lucida Grande"/>
      <w:sz w:val="18"/>
      <w:szCs w:val="18"/>
    </w:rPr>
  </w:style>
  <w:style w:type="paragraph" w:styleId="FootnoteText">
    <w:name w:val="footnote text"/>
    <w:basedOn w:val="Normal"/>
    <w:link w:val="FootnoteTextChar"/>
    <w:uiPriority w:val="99"/>
    <w:unhideWhenUsed/>
    <w:rsid w:val="004D2049"/>
  </w:style>
  <w:style w:type="character" w:customStyle="1" w:styleId="FootnoteTextChar">
    <w:name w:val="Footnote Text Char"/>
    <w:basedOn w:val="DefaultParagraphFont"/>
    <w:link w:val="FootnoteText"/>
    <w:uiPriority w:val="99"/>
    <w:rsid w:val="004D2049"/>
  </w:style>
  <w:style w:type="character" w:styleId="FootnoteReference">
    <w:name w:val="footnote reference"/>
    <w:basedOn w:val="DefaultParagraphFont"/>
    <w:uiPriority w:val="99"/>
    <w:unhideWhenUsed/>
    <w:rsid w:val="004D2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1311">
      <w:bodyDiv w:val="1"/>
      <w:marLeft w:val="0"/>
      <w:marRight w:val="0"/>
      <w:marTop w:val="0"/>
      <w:marBottom w:val="0"/>
      <w:divBdr>
        <w:top w:val="none" w:sz="0" w:space="0" w:color="auto"/>
        <w:left w:val="none" w:sz="0" w:space="0" w:color="auto"/>
        <w:bottom w:val="none" w:sz="0" w:space="0" w:color="auto"/>
        <w:right w:val="none" w:sz="0" w:space="0" w:color="auto"/>
      </w:divBdr>
    </w:div>
    <w:div w:id="190532085">
      <w:bodyDiv w:val="1"/>
      <w:marLeft w:val="0"/>
      <w:marRight w:val="0"/>
      <w:marTop w:val="0"/>
      <w:marBottom w:val="0"/>
      <w:divBdr>
        <w:top w:val="none" w:sz="0" w:space="0" w:color="auto"/>
        <w:left w:val="none" w:sz="0" w:space="0" w:color="auto"/>
        <w:bottom w:val="none" w:sz="0" w:space="0" w:color="auto"/>
        <w:right w:val="none" w:sz="0" w:space="0" w:color="auto"/>
      </w:divBdr>
    </w:div>
    <w:div w:id="369495271">
      <w:bodyDiv w:val="1"/>
      <w:marLeft w:val="0"/>
      <w:marRight w:val="0"/>
      <w:marTop w:val="0"/>
      <w:marBottom w:val="0"/>
      <w:divBdr>
        <w:top w:val="none" w:sz="0" w:space="0" w:color="auto"/>
        <w:left w:val="none" w:sz="0" w:space="0" w:color="auto"/>
        <w:bottom w:val="none" w:sz="0" w:space="0" w:color="auto"/>
        <w:right w:val="none" w:sz="0" w:space="0" w:color="auto"/>
      </w:divBdr>
    </w:div>
    <w:div w:id="419329428">
      <w:bodyDiv w:val="1"/>
      <w:marLeft w:val="0"/>
      <w:marRight w:val="0"/>
      <w:marTop w:val="0"/>
      <w:marBottom w:val="0"/>
      <w:divBdr>
        <w:top w:val="none" w:sz="0" w:space="0" w:color="auto"/>
        <w:left w:val="none" w:sz="0" w:space="0" w:color="auto"/>
        <w:bottom w:val="none" w:sz="0" w:space="0" w:color="auto"/>
        <w:right w:val="none" w:sz="0" w:space="0" w:color="auto"/>
      </w:divBdr>
    </w:div>
    <w:div w:id="443159506">
      <w:bodyDiv w:val="1"/>
      <w:marLeft w:val="0"/>
      <w:marRight w:val="0"/>
      <w:marTop w:val="0"/>
      <w:marBottom w:val="0"/>
      <w:divBdr>
        <w:top w:val="none" w:sz="0" w:space="0" w:color="auto"/>
        <w:left w:val="none" w:sz="0" w:space="0" w:color="auto"/>
        <w:bottom w:val="none" w:sz="0" w:space="0" w:color="auto"/>
        <w:right w:val="none" w:sz="0" w:space="0" w:color="auto"/>
      </w:divBdr>
    </w:div>
    <w:div w:id="722367520">
      <w:bodyDiv w:val="1"/>
      <w:marLeft w:val="0"/>
      <w:marRight w:val="0"/>
      <w:marTop w:val="0"/>
      <w:marBottom w:val="0"/>
      <w:divBdr>
        <w:top w:val="none" w:sz="0" w:space="0" w:color="auto"/>
        <w:left w:val="none" w:sz="0" w:space="0" w:color="auto"/>
        <w:bottom w:val="none" w:sz="0" w:space="0" w:color="auto"/>
        <w:right w:val="none" w:sz="0" w:space="0" w:color="auto"/>
      </w:divBdr>
    </w:div>
    <w:div w:id="750082983">
      <w:bodyDiv w:val="1"/>
      <w:marLeft w:val="0"/>
      <w:marRight w:val="0"/>
      <w:marTop w:val="0"/>
      <w:marBottom w:val="0"/>
      <w:divBdr>
        <w:top w:val="none" w:sz="0" w:space="0" w:color="auto"/>
        <w:left w:val="none" w:sz="0" w:space="0" w:color="auto"/>
        <w:bottom w:val="none" w:sz="0" w:space="0" w:color="auto"/>
        <w:right w:val="none" w:sz="0" w:space="0" w:color="auto"/>
      </w:divBdr>
    </w:div>
    <w:div w:id="796686181">
      <w:bodyDiv w:val="1"/>
      <w:marLeft w:val="0"/>
      <w:marRight w:val="0"/>
      <w:marTop w:val="0"/>
      <w:marBottom w:val="0"/>
      <w:divBdr>
        <w:top w:val="none" w:sz="0" w:space="0" w:color="auto"/>
        <w:left w:val="none" w:sz="0" w:space="0" w:color="auto"/>
        <w:bottom w:val="none" w:sz="0" w:space="0" w:color="auto"/>
        <w:right w:val="none" w:sz="0" w:space="0" w:color="auto"/>
      </w:divBdr>
    </w:div>
    <w:div w:id="1345472873">
      <w:bodyDiv w:val="1"/>
      <w:marLeft w:val="0"/>
      <w:marRight w:val="0"/>
      <w:marTop w:val="0"/>
      <w:marBottom w:val="0"/>
      <w:divBdr>
        <w:top w:val="none" w:sz="0" w:space="0" w:color="auto"/>
        <w:left w:val="none" w:sz="0" w:space="0" w:color="auto"/>
        <w:bottom w:val="none" w:sz="0" w:space="0" w:color="auto"/>
        <w:right w:val="none" w:sz="0" w:space="0" w:color="auto"/>
      </w:divBdr>
    </w:div>
    <w:div w:id="1352368108">
      <w:bodyDiv w:val="1"/>
      <w:marLeft w:val="0"/>
      <w:marRight w:val="0"/>
      <w:marTop w:val="0"/>
      <w:marBottom w:val="0"/>
      <w:divBdr>
        <w:top w:val="none" w:sz="0" w:space="0" w:color="auto"/>
        <w:left w:val="none" w:sz="0" w:space="0" w:color="auto"/>
        <w:bottom w:val="none" w:sz="0" w:space="0" w:color="auto"/>
        <w:right w:val="none" w:sz="0" w:space="0" w:color="auto"/>
      </w:divBdr>
    </w:div>
    <w:div w:id="1596672749">
      <w:bodyDiv w:val="1"/>
      <w:marLeft w:val="0"/>
      <w:marRight w:val="0"/>
      <w:marTop w:val="0"/>
      <w:marBottom w:val="0"/>
      <w:divBdr>
        <w:top w:val="none" w:sz="0" w:space="0" w:color="auto"/>
        <w:left w:val="none" w:sz="0" w:space="0" w:color="auto"/>
        <w:bottom w:val="none" w:sz="0" w:space="0" w:color="auto"/>
        <w:right w:val="none" w:sz="0" w:space="0" w:color="auto"/>
      </w:divBdr>
    </w:div>
    <w:div w:id="1633246829">
      <w:bodyDiv w:val="1"/>
      <w:marLeft w:val="0"/>
      <w:marRight w:val="0"/>
      <w:marTop w:val="0"/>
      <w:marBottom w:val="0"/>
      <w:divBdr>
        <w:top w:val="none" w:sz="0" w:space="0" w:color="auto"/>
        <w:left w:val="none" w:sz="0" w:space="0" w:color="auto"/>
        <w:bottom w:val="none" w:sz="0" w:space="0" w:color="auto"/>
        <w:right w:val="none" w:sz="0" w:space="0" w:color="auto"/>
      </w:divBdr>
    </w:div>
    <w:div w:id="1663049601">
      <w:bodyDiv w:val="1"/>
      <w:marLeft w:val="0"/>
      <w:marRight w:val="0"/>
      <w:marTop w:val="0"/>
      <w:marBottom w:val="0"/>
      <w:divBdr>
        <w:top w:val="none" w:sz="0" w:space="0" w:color="auto"/>
        <w:left w:val="none" w:sz="0" w:space="0" w:color="auto"/>
        <w:bottom w:val="none" w:sz="0" w:space="0" w:color="auto"/>
        <w:right w:val="none" w:sz="0" w:space="0" w:color="auto"/>
      </w:divBdr>
    </w:div>
    <w:div w:id="1755741201">
      <w:bodyDiv w:val="1"/>
      <w:marLeft w:val="0"/>
      <w:marRight w:val="0"/>
      <w:marTop w:val="0"/>
      <w:marBottom w:val="0"/>
      <w:divBdr>
        <w:top w:val="none" w:sz="0" w:space="0" w:color="auto"/>
        <w:left w:val="none" w:sz="0" w:space="0" w:color="auto"/>
        <w:bottom w:val="none" w:sz="0" w:space="0" w:color="auto"/>
        <w:right w:val="none" w:sz="0" w:space="0" w:color="auto"/>
      </w:divBdr>
    </w:div>
    <w:div w:id="1963075690">
      <w:bodyDiv w:val="1"/>
      <w:marLeft w:val="0"/>
      <w:marRight w:val="0"/>
      <w:marTop w:val="0"/>
      <w:marBottom w:val="0"/>
      <w:divBdr>
        <w:top w:val="none" w:sz="0" w:space="0" w:color="auto"/>
        <w:left w:val="none" w:sz="0" w:space="0" w:color="auto"/>
        <w:bottom w:val="none" w:sz="0" w:space="0" w:color="auto"/>
        <w:right w:val="none" w:sz="0" w:space="0" w:color="auto"/>
      </w:divBdr>
    </w:div>
    <w:div w:id="1996762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grm.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1570</Words>
  <Characters>8954</Characters>
  <Application>Microsoft Macintosh Word</Application>
  <DocSecurity>0</DocSecurity>
  <Lines>74</Lines>
  <Paragraphs>21</Paragraphs>
  <ScaleCrop>false</ScaleCrop>
  <Company>Washington Elementary District</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Hall</dc:creator>
  <cp:keywords/>
  <dc:description/>
  <cp:lastModifiedBy>Microsoft Office User</cp:lastModifiedBy>
  <cp:revision>6</cp:revision>
  <cp:lastPrinted>2017-03-04T01:35:00Z</cp:lastPrinted>
  <dcterms:created xsi:type="dcterms:W3CDTF">2017-03-03T22:06:00Z</dcterms:created>
  <dcterms:modified xsi:type="dcterms:W3CDTF">2017-03-06T17:52:00Z</dcterms:modified>
</cp:coreProperties>
</file>