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2C25B" w14:textId="775055AA" w:rsidR="009469C6" w:rsidRPr="009469C6" w:rsidRDefault="009469C6" w:rsidP="009469C6">
      <w:pPr>
        <w:jc w:val="center"/>
        <w:rPr>
          <w:b/>
          <w:sz w:val="32"/>
          <w:szCs w:val="32"/>
        </w:rPr>
      </w:pPr>
      <w:r>
        <w:rPr>
          <w:b/>
          <w:sz w:val="40"/>
          <w:szCs w:val="40"/>
        </w:rPr>
        <w:t>The Consequences of Unregulated Charter Schools in Arizona:</w:t>
      </w:r>
    </w:p>
    <w:p w14:paraId="3404E660" w14:textId="1745B1E9" w:rsidR="00A55C15" w:rsidRPr="009469C6" w:rsidRDefault="00A55C15" w:rsidP="00A55C15">
      <w:pPr>
        <w:jc w:val="center"/>
        <w:rPr>
          <w:b/>
          <w:i/>
          <w:sz w:val="36"/>
          <w:szCs w:val="36"/>
        </w:rPr>
      </w:pPr>
      <w:r w:rsidRPr="009469C6">
        <w:rPr>
          <w:b/>
          <w:i/>
          <w:sz w:val="36"/>
          <w:szCs w:val="36"/>
        </w:rPr>
        <w:t xml:space="preserve">For-Profit </w:t>
      </w:r>
      <w:r w:rsidR="00C31DBA" w:rsidRPr="009469C6">
        <w:rPr>
          <w:b/>
          <w:i/>
          <w:sz w:val="36"/>
          <w:szCs w:val="36"/>
        </w:rPr>
        <w:t>American Virtual Academy Nets $10 M</w:t>
      </w:r>
      <w:r w:rsidRPr="009469C6">
        <w:rPr>
          <w:b/>
          <w:i/>
          <w:sz w:val="36"/>
          <w:szCs w:val="36"/>
        </w:rPr>
        <w:t>illion Prof</w:t>
      </w:r>
      <w:r w:rsidR="00C31DBA" w:rsidRPr="009469C6">
        <w:rPr>
          <w:b/>
          <w:i/>
          <w:sz w:val="36"/>
          <w:szCs w:val="36"/>
        </w:rPr>
        <w:t>it in 2016 After Siphoning $84 M</w:t>
      </w:r>
      <w:r w:rsidRPr="009469C6">
        <w:rPr>
          <w:b/>
          <w:i/>
          <w:sz w:val="36"/>
          <w:szCs w:val="36"/>
        </w:rPr>
        <w:t xml:space="preserve">illion </w:t>
      </w:r>
      <w:r w:rsidR="009469C6">
        <w:rPr>
          <w:b/>
          <w:i/>
          <w:sz w:val="36"/>
          <w:szCs w:val="36"/>
        </w:rPr>
        <w:t xml:space="preserve">from </w:t>
      </w:r>
      <w:r w:rsidRPr="009469C6">
        <w:rPr>
          <w:b/>
          <w:i/>
          <w:sz w:val="36"/>
          <w:szCs w:val="36"/>
        </w:rPr>
        <w:t xml:space="preserve">Non-Profit Primavera Online. </w:t>
      </w:r>
    </w:p>
    <w:p w14:paraId="3263A0F7" w14:textId="77777777" w:rsidR="009469C6" w:rsidRDefault="009469C6" w:rsidP="009469C6">
      <w:pPr>
        <w:rPr>
          <w:b/>
          <w:sz w:val="28"/>
          <w:szCs w:val="28"/>
        </w:rPr>
      </w:pPr>
    </w:p>
    <w:p w14:paraId="3322EE23" w14:textId="77777777" w:rsidR="009469C6" w:rsidRDefault="009469C6" w:rsidP="009469C6">
      <w:pPr>
        <w:jc w:val="center"/>
        <w:rPr>
          <w:b/>
          <w:sz w:val="28"/>
          <w:szCs w:val="28"/>
        </w:rPr>
      </w:pPr>
      <w:r>
        <w:rPr>
          <w:b/>
          <w:sz w:val="28"/>
          <w:szCs w:val="28"/>
        </w:rPr>
        <w:t>Jim Hall</w:t>
      </w:r>
    </w:p>
    <w:p w14:paraId="5E16765A" w14:textId="77777777" w:rsidR="009469C6" w:rsidRDefault="009469C6" w:rsidP="009469C6">
      <w:pPr>
        <w:jc w:val="center"/>
        <w:rPr>
          <w:b/>
          <w:sz w:val="28"/>
          <w:szCs w:val="28"/>
        </w:rPr>
      </w:pPr>
      <w:r>
        <w:rPr>
          <w:b/>
          <w:sz w:val="28"/>
          <w:szCs w:val="28"/>
        </w:rPr>
        <w:t>Arizonans for Charter School Accountability</w:t>
      </w:r>
    </w:p>
    <w:p w14:paraId="1EC73908" w14:textId="77B65B1E" w:rsidR="009469C6" w:rsidRDefault="009469C6" w:rsidP="009469C6">
      <w:pPr>
        <w:jc w:val="center"/>
        <w:rPr>
          <w:b/>
          <w:sz w:val="28"/>
          <w:szCs w:val="28"/>
        </w:rPr>
      </w:pPr>
      <w:r>
        <w:rPr>
          <w:b/>
          <w:sz w:val="28"/>
          <w:szCs w:val="28"/>
        </w:rPr>
        <w:t>February 2</w:t>
      </w:r>
      <w:r w:rsidR="00460B81">
        <w:rPr>
          <w:b/>
          <w:sz w:val="28"/>
          <w:szCs w:val="28"/>
        </w:rPr>
        <w:t>7</w:t>
      </w:r>
      <w:r w:rsidRPr="00C34017">
        <w:rPr>
          <w:b/>
          <w:sz w:val="28"/>
          <w:szCs w:val="28"/>
        </w:rPr>
        <w:t>, 2017</w:t>
      </w:r>
    </w:p>
    <w:p w14:paraId="29D2923A" w14:textId="77777777" w:rsidR="00460B81" w:rsidRPr="00460B81" w:rsidRDefault="00460B81" w:rsidP="009469C6">
      <w:pPr>
        <w:jc w:val="center"/>
        <w:rPr>
          <w:sz w:val="28"/>
          <w:szCs w:val="28"/>
        </w:rPr>
      </w:pPr>
    </w:p>
    <w:p w14:paraId="0E407D16" w14:textId="73441CF9" w:rsidR="00460B81" w:rsidRDefault="00460B81" w:rsidP="00460B81">
      <w:r w:rsidRPr="00460B81">
        <w:t>The American Virtual Academy</w:t>
      </w:r>
      <w:r>
        <w:t xml:space="preserve"> Inc., a</w:t>
      </w:r>
      <w:r w:rsidR="00800710">
        <w:t>n educational</w:t>
      </w:r>
      <w:r>
        <w:t xml:space="preserve"> software company based in Chandler, Arizona, supplied the courseware for the largest </w:t>
      </w:r>
      <w:r w:rsidR="00800710">
        <w:t xml:space="preserve">non-profit </w:t>
      </w:r>
      <w:r>
        <w:t>charter online high school in the state, Primareva Online High School, charging over $84 million since 2009 for licensing and support fees.  In 2015, the board of Primavera Online voted to relinquish the school’s charter to for-profit American Virtual Academy Inc. without compensation. In 2015-16 the American Virtual Academy recorded a $10 million profit while charging (themselves) $13.4 million for software licenses they owned and created.</w:t>
      </w:r>
    </w:p>
    <w:p w14:paraId="519AC505" w14:textId="77777777" w:rsidR="00460B81" w:rsidRDefault="00460B81" w:rsidP="00460B81"/>
    <w:p w14:paraId="3985330C" w14:textId="64235CB5" w:rsidR="00460B81" w:rsidRDefault="00800710" w:rsidP="00460B81">
      <w:r>
        <w:t>This report</w:t>
      </w:r>
      <w:r w:rsidR="00460B81">
        <w:t xml:space="preserve"> will examine the unusual transfer of a charter </w:t>
      </w:r>
      <w:r>
        <w:t xml:space="preserve">school </w:t>
      </w:r>
      <w:r w:rsidR="00460B81">
        <w:t>from a non-profit charter holder to their for-profit software supplier</w:t>
      </w:r>
      <w:r w:rsidR="00E45EDA">
        <w:t xml:space="preserve"> and explore t</w:t>
      </w:r>
      <w:r>
        <w:t>he relationships that drove that</w:t>
      </w:r>
      <w:r w:rsidR="00E45EDA">
        <w:t xml:space="preserve"> decision.</w:t>
      </w:r>
    </w:p>
    <w:p w14:paraId="46043238" w14:textId="77777777" w:rsidR="00460B81" w:rsidRPr="00460B81" w:rsidRDefault="00460B81" w:rsidP="00460B81"/>
    <w:p w14:paraId="2F3B0F3D" w14:textId="5C748C3A" w:rsidR="002E64D9" w:rsidRPr="00E45EDA" w:rsidRDefault="00E45EDA">
      <w:pPr>
        <w:rPr>
          <w:b/>
        </w:rPr>
      </w:pPr>
      <w:r w:rsidRPr="00C74404">
        <w:rPr>
          <w:b/>
        </w:rPr>
        <w:t>Primavera Online Charter Renewal July 2016.</w:t>
      </w:r>
    </w:p>
    <w:p w14:paraId="07C45475" w14:textId="7F326E12" w:rsidR="001E16C8" w:rsidRDefault="00D46206" w:rsidP="002E64D9">
      <w:r>
        <w:t>Primavera Online was one of the first computer based, online charter schools in Arizona</w:t>
      </w:r>
      <w:r w:rsidR="002E64D9">
        <w:t xml:space="preserve">.  Non-profit Primavera Technical Learning </w:t>
      </w:r>
      <w:r w:rsidR="00757BF0">
        <w:t>Center</w:t>
      </w:r>
      <w:r w:rsidR="002E64D9">
        <w:t xml:space="preserve"> (PTLC) owned the charter for Primavera Online </w:t>
      </w:r>
      <w:r w:rsidR="00757BF0">
        <w:t>High School</w:t>
      </w:r>
      <w:r w:rsidR="002E64D9">
        <w:t xml:space="preserve"> from 2002 until 2015.  </w:t>
      </w:r>
      <w:r w:rsidR="001E16C8">
        <w:t xml:space="preserve">PTLC assets increased </w:t>
      </w:r>
      <w:r w:rsidR="007D6A79">
        <w:t>to</w:t>
      </w:r>
      <w:r w:rsidR="001E16C8">
        <w:t xml:space="preserve"> $</w:t>
      </w:r>
      <w:r w:rsidR="00FC196C">
        <w:t>44</w:t>
      </w:r>
      <w:r w:rsidR="001E16C8">
        <w:t xml:space="preserve"> million</w:t>
      </w:r>
      <w:r w:rsidR="006D194D">
        <w:t xml:space="preserve"> (with no debt)</w:t>
      </w:r>
      <w:r w:rsidR="001E16C8">
        <w:t xml:space="preserve"> over that time period, making them the richest non-pr</w:t>
      </w:r>
      <w:r w:rsidR="001F505E">
        <w:t>ofit charter school in Arizona.</w:t>
      </w:r>
      <w:r w:rsidR="001F505E">
        <w:rPr>
          <w:rStyle w:val="FootnoteReference"/>
        </w:rPr>
        <w:footnoteReference w:id="1"/>
      </w:r>
      <w:r w:rsidR="001F505E">
        <w:t xml:space="preserve"> </w:t>
      </w:r>
    </w:p>
    <w:p w14:paraId="232A2FD4" w14:textId="77777777" w:rsidR="00C74404" w:rsidRDefault="00C74404" w:rsidP="002E64D9"/>
    <w:p w14:paraId="31455C93" w14:textId="471D4094" w:rsidR="009469C6" w:rsidRDefault="00E330D4" w:rsidP="009469C6">
      <w:r>
        <w:t>Primavera had average</w:t>
      </w:r>
      <w:r w:rsidR="009469C6">
        <w:t xml:space="preserve"> revenues of over $30 million and </w:t>
      </w:r>
      <w:r w:rsidR="00460B81">
        <w:t xml:space="preserve">increased their assets an average of </w:t>
      </w:r>
      <w:r w:rsidR="009469C6">
        <w:t xml:space="preserve"> $5.6 million</w:t>
      </w:r>
      <w:r w:rsidR="00460B81">
        <w:t xml:space="preserve"> a year</w:t>
      </w:r>
      <w:r w:rsidR="009469C6">
        <w:t xml:space="preserve"> since 20</w:t>
      </w:r>
      <w:r w:rsidR="00563D8C">
        <w:t>09</w:t>
      </w:r>
      <w:r w:rsidR="009469C6">
        <w:t xml:space="preserve">.  A net gain in 2015 of </w:t>
      </w:r>
      <w:r w:rsidR="009469C6" w:rsidRPr="00460B81">
        <w:t>only</w:t>
      </w:r>
      <w:r w:rsidR="009469C6">
        <w:t xml:space="preserve"> $776,400 was due largely to an increase of $1.5 million for license fees and $1.0 million in new “support services” fees from their software supplier, American Virtual Academy.   These charges will be discussed at length on </w:t>
      </w:r>
      <w:r w:rsidR="00800710">
        <w:t>page 6</w:t>
      </w:r>
      <w:r w:rsidR="009469C6">
        <w:t>.  See Table 1</w:t>
      </w:r>
    </w:p>
    <w:p w14:paraId="06E3760A" w14:textId="77777777" w:rsidR="00460B81" w:rsidRDefault="00460B81" w:rsidP="009469C6"/>
    <w:p w14:paraId="5F341E5F" w14:textId="77777777" w:rsidR="00460B81" w:rsidRDefault="00460B81" w:rsidP="009469C6"/>
    <w:p w14:paraId="6D7DF9F3" w14:textId="77777777" w:rsidR="00460B81" w:rsidRDefault="00460B81" w:rsidP="009469C6"/>
    <w:p w14:paraId="662F9B9C" w14:textId="77777777" w:rsidR="009469C6" w:rsidRPr="00C31DBA" w:rsidRDefault="009469C6" w:rsidP="009469C6">
      <w:pPr>
        <w:rPr>
          <w:sz w:val="22"/>
          <w:szCs w:val="22"/>
        </w:rPr>
      </w:pPr>
      <w:r w:rsidRPr="00932B15">
        <w:rPr>
          <w:b/>
          <w:sz w:val="22"/>
          <w:szCs w:val="22"/>
        </w:rPr>
        <w:lastRenderedPageBreak/>
        <w:t xml:space="preserve">Table </w:t>
      </w:r>
      <w:r w:rsidRPr="00C31DBA">
        <w:rPr>
          <w:sz w:val="22"/>
          <w:szCs w:val="22"/>
        </w:rPr>
        <w:t>1 Primavera Technical Learning Center Revenue, Expenditures and Net Gains 2009-2015</w:t>
      </w:r>
    </w:p>
    <w:tbl>
      <w:tblPr>
        <w:tblW w:w="6900" w:type="dxa"/>
        <w:tblInd w:w="93" w:type="dxa"/>
        <w:tblLook w:val="04A0" w:firstRow="1" w:lastRow="0" w:firstColumn="1" w:lastColumn="0" w:noHBand="0" w:noVBand="1"/>
      </w:tblPr>
      <w:tblGrid>
        <w:gridCol w:w="1680"/>
        <w:gridCol w:w="1720"/>
        <w:gridCol w:w="1960"/>
        <w:gridCol w:w="1540"/>
      </w:tblGrid>
      <w:tr w:rsidR="009469C6" w:rsidRPr="0084537A" w14:paraId="5B472D34" w14:textId="77777777" w:rsidTr="009469C6">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1AFCD" w14:textId="77777777" w:rsidR="009469C6" w:rsidRPr="00C31DBA" w:rsidRDefault="009469C6" w:rsidP="009469C6">
            <w:pPr>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6372162D" w14:textId="77777777" w:rsidR="009469C6" w:rsidRPr="00C31DBA" w:rsidRDefault="009469C6" w:rsidP="009469C6">
            <w:pPr>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Total Revenue</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2AC999DC" w14:textId="77777777" w:rsidR="009469C6" w:rsidRPr="00C31DBA" w:rsidRDefault="009469C6" w:rsidP="009469C6">
            <w:pPr>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Total Expenditures</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3205AC7" w14:textId="77777777" w:rsidR="009469C6" w:rsidRPr="00C31DBA" w:rsidRDefault="009469C6" w:rsidP="009469C6">
            <w:pPr>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Net gain</w:t>
            </w:r>
          </w:p>
        </w:tc>
      </w:tr>
      <w:tr w:rsidR="009469C6" w:rsidRPr="0084537A" w14:paraId="37D26894" w14:textId="77777777" w:rsidTr="009469C6">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49E0479"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2009</w:t>
            </w:r>
          </w:p>
        </w:tc>
        <w:tc>
          <w:tcPr>
            <w:tcW w:w="1720" w:type="dxa"/>
            <w:tcBorders>
              <w:top w:val="nil"/>
              <w:left w:val="nil"/>
              <w:bottom w:val="single" w:sz="4" w:space="0" w:color="auto"/>
              <w:right w:val="single" w:sz="4" w:space="0" w:color="auto"/>
            </w:tcBorders>
            <w:shd w:val="clear" w:color="auto" w:fill="auto"/>
            <w:noWrap/>
            <w:vAlign w:val="bottom"/>
            <w:hideMark/>
          </w:tcPr>
          <w:p w14:paraId="4D1E74F7"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$19,974,999</w:t>
            </w:r>
          </w:p>
        </w:tc>
        <w:tc>
          <w:tcPr>
            <w:tcW w:w="1960" w:type="dxa"/>
            <w:tcBorders>
              <w:top w:val="nil"/>
              <w:left w:val="nil"/>
              <w:bottom w:val="single" w:sz="4" w:space="0" w:color="auto"/>
              <w:right w:val="single" w:sz="4" w:space="0" w:color="auto"/>
            </w:tcBorders>
            <w:shd w:val="clear" w:color="auto" w:fill="auto"/>
            <w:noWrap/>
            <w:vAlign w:val="bottom"/>
            <w:hideMark/>
          </w:tcPr>
          <w:p w14:paraId="247A0DDC"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$14,685,633</w:t>
            </w:r>
          </w:p>
        </w:tc>
        <w:tc>
          <w:tcPr>
            <w:tcW w:w="1540" w:type="dxa"/>
            <w:tcBorders>
              <w:top w:val="nil"/>
              <w:left w:val="nil"/>
              <w:bottom w:val="single" w:sz="4" w:space="0" w:color="auto"/>
              <w:right w:val="single" w:sz="4" w:space="0" w:color="auto"/>
            </w:tcBorders>
            <w:shd w:val="clear" w:color="auto" w:fill="auto"/>
            <w:noWrap/>
            <w:vAlign w:val="bottom"/>
            <w:hideMark/>
          </w:tcPr>
          <w:p w14:paraId="79727A80"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$5,289,366</w:t>
            </w:r>
          </w:p>
        </w:tc>
      </w:tr>
      <w:tr w:rsidR="009469C6" w:rsidRPr="0084537A" w14:paraId="4619FB24" w14:textId="77777777" w:rsidTr="009469C6">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E02B4C8"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2010</w:t>
            </w:r>
          </w:p>
        </w:tc>
        <w:tc>
          <w:tcPr>
            <w:tcW w:w="1720" w:type="dxa"/>
            <w:tcBorders>
              <w:top w:val="nil"/>
              <w:left w:val="nil"/>
              <w:bottom w:val="single" w:sz="4" w:space="0" w:color="auto"/>
              <w:right w:val="single" w:sz="4" w:space="0" w:color="auto"/>
            </w:tcBorders>
            <w:shd w:val="clear" w:color="auto" w:fill="auto"/>
            <w:noWrap/>
            <w:vAlign w:val="bottom"/>
            <w:hideMark/>
          </w:tcPr>
          <w:p w14:paraId="68DE2D47"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$23,602,052</w:t>
            </w:r>
          </w:p>
        </w:tc>
        <w:tc>
          <w:tcPr>
            <w:tcW w:w="1960" w:type="dxa"/>
            <w:tcBorders>
              <w:top w:val="nil"/>
              <w:left w:val="nil"/>
              <w:bottom w:val="single" w:sz="4" w:space="0" w:color="auto"/>
              <w:right w:val="single" w:sz="4" w:space="0" w:color="auto"/>
            </w:tcBorders>
            <w:shd w:val="clear" w:color="auto" w:fill="auto"/>
            <w:noWrap/>
            <w:vAlign w:val="bottom"/>
            <w:hideMark/>
          </w:tcPr>
          <w:p w14:paraId="2E7BE7B8"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$17,926,279</w:t>
            </w:r>
          </w:p>
        </w:tc>
        <w:tc>
          <w:tcPr>
            <w:tcW w:w="1540" w:type="dxa"/>
            <w:tcBorders>
              <w:top w:val="nil"/>
              <w:left w:val="nil"/>
              <w:bottom w:val="single" w:sz="4" w:space="0" w:color="auto"/>
              <w:right w:val="single" w:sz="4" w:space="0" w:color="auto"/>
            </w:tcBorders>
            <w:shd w:val="clear" w:color="auto" w:fill="auto"/>
            <w:noWrap/>
            <w:vAlign w:val="bottom"/>
            <w:hideMark/>
          </w:tcPr>
          <w:p w14:paraId="62753909"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$5,675,773</w:t>
            </w:r>
          </w:p>
        </w:tc>
      </w:tr>
      <w:tr w:rsidR="009469C6" w:rsidRPr="0084537A" w14:paraId="6C91330D" w14:textId="77777777" w:rsidTr="009469C6">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DC46AFE"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2011</w:t>
            </w:r>
          </w:p>
        </w:tc>
        <w:tc>
          <w:tcPr>
            <w:tcW w:w="1720" w:type="dxa"/>
            <w:tcBorders>
              <w:top w:val="nil"/>
              <w:left w:val="nil"/>
              <w:bottom w:val="single" w:sz="4" w:space="0" w:color="auto"/>
              <w:right w:val="single" w:sz="4" w:space="0" w:color="auto"/>
            </w:tcBorders>
            <w:shd w:val="clear" w:color="auto" w:fill="auto"/>
            <w:noWrap/>
            <w:vAlign w:val="bottom"/>
            <w:hideMark/>
          </w:tcPr>
          <w:p w14:paraId="23498717"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$31,087,648</w:t>
            </w:r>
          </w:p>
        </w:tc>
        <w:tc>
          <w:tcPr>
            <w:tcW w:w="1960" w:type="dxa"/>
            <w:tcBorders>
              <w:top w:val="nil"/>
              <w:left w:val="nil"/>
              <w:bottom w:val="single" w:sz="4" w:space="0" w:color="auto"/>
              <w:right w:val="single" w:sz="4" w:space="0" w:color="auto"/>
            </w:tcBorders>
            <w:shd w:val="clear" w:color="auto" w:fill="auto"/>
            <w:noWrap/>
            <w:vAlign w:val="bottom"/>
            <w:hideMark/>
          </w:tcPr>
          <w:p w14:paraId="56D037B9"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$22,417,466</w:t>
            </w:r>
          </w:p>
        </w:tc>
        <w:tc>
          <w:tcPr>
            <w:tcW w:w="1540" w:type="dxa"/>
            <w:tcBorders>
              <w:top w:val="nil"/>
              <w:left w:val="nil"/>
              <w:bottom w:val="single" w:sz="4" w:space="0" w:color="auto"/>
              <w:right w:val="single" w:sz="4" w:space="0" w:color="auto"/>
            </w:tcBorders>
            <w:shd w:val="clear" w:color="auto" w:fill="auto"/>
            <w:noWrap/>
            <w:vAlign w:val="bottom"/>
            <w:hideMark/>
          </w:tcPr>
          <w:p w14:paraId="0CF6A128"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$8,670,182</w:t>
            </w:r>
          </w:p>
        </w:tc>
      </w:tr>
      <w:tr w:rsidR="009469C6" w:rsidRPr="0084537A" w14:paraId="39380ECE" w14:textId="77777777" w:rsidTr="009469C6">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9606A6B"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2012</w:t>
            </w:r>
          </w:p>
        </w:tc>
        <w:tc>
          <w:tcPr>
            <w:tcW w:w="1720" w:type="dxa"/>
            <w:tcBorders>
              <w:top w:val="nil"/>
              <w:left w:val="nil"/>
              <w:bottom w:val="single" w:sz="4" w:space="0" w:color="auto"/>
              <w:right w:val="single" w:sz="4" w:space="0" w:color="auto"/>
            </w:tcBorders>
            <w:shd w:val="clear" w:color="auto" w:fill="auto"/>
            <w:noWrap/>
            <w:vAlign w:val="bottom"/>
            <w:hideMark/>
          </w:tcPr>
          <w:p w14:paraId="22DF458B"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$34,525,323</w:t>
            </w:r>
          </w:p>
        </w:tc>
        <w:tc>
          <w:tcPr>
            <w:tcW w:w="1960" w:type="dxa"/>
            <w:tcBorders>
              <w:top w:val="nil"/>
              <w:left w:val="nil"/>
              <w:bottom w:val="single" w:sz="4" w:space="0" w:color="auto"/>
              <w:right w:val="single" w:sz="4" w:space="0" w:color="auto"/>
            </w:tcBorders>
            <w:shd w:val="clear" w:color="auto" w:fill="auto"/>
            <w:noWrap/>
            <w:vAlign w:val="bottom"/>
            <w:hideMark/>
          </w:tcPr>
          <w:p w14:paraId="6A7BA196"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$24,674,997</w:t>
            </w:r>
          </w:p>
        </w:tc>
        <w:tc>
          <w:tcPr>
            <w:tcW w:w="1540" w:type="dxa"/>
            <w:tcBorders>
              <w:top w:val="nil"/>
              <w:left w:val="nil"/>
              <w:bottom w:val="single" w:sz="4" w:space="0" w:color="auto"/>
              <w:right w:val="single" w:sz="4" w:space="0" w:color="auto"/>
            </w:tcBorders>
            <w:shd w:val="clear" w:color="auto" w:fill="auto"/>
            <w:noWrap/>
            <w:vAlign w:val="bottom"/>
            <w:hideMark/>
          </w:tcPr>
          <w:p w14:paraId="23F2EB42"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$9,799,200</w:t>
            </w:r>
          </w:p>
        </w:tc>
      </w:tr>
      <w:tr w:rsidR="009469C6" w:rsidRPr="0084537A" w14:paraId="4FD33EFD" w14:textId="77777777" w:rsidTr="009469C6">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69CC7C8"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2013</w:t>
            </w:r>
          </w:p>
        </w:tc>
        <w:tc>
          <w:tcPr>
            <w:tcW w:w="1720" w:type="dxa"/>
            <w:tcBorders>
              <w:top w:val="nil"/>
              <w:left w:val="nil"/>
              <w:bottom w:val="single" w:sz="4" w:space="0" w:color="auto"/>
              <w:right w:val="single" w:sz="4" w:space="0" w:color="auto"/>
            </w:tcBorders>
            <w:shd w:val="clear" w:color="auto" w:fill="auto"/>
            <w:noWrap/>
            <w:vAlign w:val="bottom"/>
            <w:hideMark/>
          </w:tcPr>
          <w:p w14:paraId="37A9206B"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$33,563,511</w:t>
            </w:r>
          </w:p>
        </w:tc>
        <w:tc>
          <w:tcPr>
            <w:tcW w:w="1960" w:type="dxa"/>
            <w:tcBorders>
              <w:top w:val="nil"/>
              <w:left w:val="nil"/>
              <w:bottom w:val="single" w:sz="4" w:space="0" w:color="auto"/>
              <w:right w:val="single" w:sz="4" w:space="0" w:color="auto"/>
            </w:tcBorders>
            <w:shd w:val="clear" w:color="auto" w:fill="auto"/>
            <w:noWrap/>
            <w:vAlign w:val="bottom"/>
            <w:hideMark/>
          </w:tcPr>
          <w:p w14:paraId="6E4D7DC3"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$31,247,922</w:t>
            </w:r>
          </w:p>
        </w:tc>
        <w:tc>
          <w:tcPr>
            <w:tcW w:w="1540" w:type="dxa"/>
            <w:tcBorders>
              <w:top w:val="nil"/>
              <w:left w:val="nil"/>
              <w:bottom w:val="single" w:sz="4" w:space="0" w:color="auto"/>
              <w:right w:val="single" w:sz="4" w:space="0" w:color="auto"/>
            </w:tcBorders>
            <w:shd w:val="clear" w:color="auto" w:fill="auto"/>
            <w:noWrap/>
            <w:vAlign w:val="bottom"/>
            <w:hideMark/>
          </w:tcPr>
          <w:p w14:paraId="2DDE9A53"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$2,315,589</w:t>
            </w:r>
          </w:p>
        </w:tc>
      </w:tr>
      <w:tr w:rsidR="009469C6" w:rsidRPr="0084537A" w14:paraId="66DDE54D" w14:textId="77777777" w:rsidTr="009469C6">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6244BC5"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2014</w:t>
            </w:r>
          </w:p>
        </w:tc>
        <w:tc>
          <w:tcPr>
            <w:tcW w:w="1720" w:type="dxa"/>
            <w:tcBorders>
              <w:top w:val="nil"/>
              <w:left w:val="nil"/>
              <w:bottom w:val="single" w:sz="4" w:space="0" w:color="auto"/>
              <w:right w:val="single" w:sz="4" w:space="0" w:color="auto"/>
            </w:tcBorders>
            <w:shd w:val="clear" w:color="auto" w:fill="auto"/>
            <w:noWrap/>
            <w:vAlign w:val="bottom"/>
            <w:hideMark/>
          </w:tcPr>
          <w:p w14:paraId="697BB8EE"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$35,856,601</w:t>
            </w:r>
          </w:p>
        </w:tc>
        <w:tc>
          <w:tcPr>
            <w:tcW w:w="1960" w:type="dxa"/>
            <w:tcBorders>
              <w:top w:val="nil"/>
              <w:left w:val="nil"/>
              <w:bottom w:val="single" w:sz="4" w:space="0" w:color="auto"/>
              <w:right w:val="single" w:sz="4" w:space="0" w:color="auto"/>
            </w:tcBorders>
            <w:shd w:val="clear" w:color="auto" w:fill="auto"/>
            <w:noWrap/>
            <w:vAlign w:val="bottom"/>
            <w:hideMark/>
          </w:tcPr>
          <w:p w14:paraId="4A725FBF"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$28,736,215</w:t>
            </w:r>
          </w:p>
        </w:tc>
        <w:tc>
          <w:tcPr>
            <w:tcW w:w="1540" w:type="dxa"/>
            <w:tcBorders>
              <w:top w:val="nil"/>
              <w:left w:val="nil"/>
              <w:bottom w:val="single" w:sz="4" w:space="0" w:color="auto"/>
              <w:right w:val="single" w:sz="4" w:space="0" w:color="auto"/>
            </w:tcBorders>
            <w:shd w:val="clear" w:color="auto" w:fill="auto"/>
            <w:noWrap/>
            <w:vAlign w:val="bottom"/>
            <w:hideMark/>
          </w:tcPr>
          <w:p w14:paraId="20D001B3"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$7,120,386</w:t>
            </w:r>
          </w:p>
        </w:tc>
      </w:tr>
      <w:tr w:rsidR="009469C6" w:rsidRPr="0084537A" w14:paraId="381E9530" w14:textId="77777777" w:rsidTr="009469C6">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9B29A6E"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2015</w:t>
            </w:r>
          </w:p>
        </w:tc>
        <w:tc>
          <w:tcPr>
            <w:tcW w:w="1720" w:type="dxa"/>
            <w:tcBorders>
              <w:top w:val="nil"/>
              <w:left w:val="nil"/>
              <w:bottom w:val="single" w:sz="4" w:space="0" w:color="auto"/>
              <w:right w:val="single" w:sz="4" w:space="0" w:color="auto"/>
            </w:tcBorders>
            <w:shd w:val="clear" w:color="auto" w:fill="auto"/>
            <w:noWrap/>
            <w:vAlign w:val="bottom"/>
            <w:hideMark/>
          </w:tcPr>
          <w:p w14:paraId="03DB578A"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$32,808,038</w:t>
            </w:r>
          </w:p>
        </w:tc>
        <w:tc>
          <w:tcPr>
            <w:tcW w:w="1960" w:type="dxa"/>
            <w:tcBorders>
              <w:top w:val="nil"/>
              <w:left w:val="nil"/>
              <w:bottom w:val="single" w:sz="4" w:space="0" w:color="auto"/>
              <w:right w:val="single" w:sz="4" w:space="0" w:color="auto"/>
            </w:tcBorders>
            <w:shd w:val="clear" w:color="auto" w:fill="auto"/>
            <w:noWrap/>
            <w:vAlign w:val="bottom"/>
            <w:hideMark/>
          </w:tcPr>
          <w:p w14:paraId="10B9F9FD"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$32,031,638</w:t>
            </w:r>
          </w:p>
        </w:tc>
        <w:tc>
          <w:tcPr>
            <w:tcW w:w="1540" w:type="dxa"/>
            <w:tcBorders>
              <w:top w:val="nil"/>
              <w:left w:val="nil"/>
              <w:bottom w:val="single" w:sz="4" w:space="0" w:color="auto"/>
              <w:right w:val="single" w:sz="4" w:space="0" w:color="auto"/>
            </w:tcBorders>
            <w:shd w:val="clear" w:color="auto" w:fill="auto"/>
            <w:noWrap/>
            <w:vAlign w:val="bottom"/>
            <w:hideMark/>
          </w:tcPr>
          <w:p w14:paraId="49B822DF"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$776,400</w:t>
            </w:r>
          </w:p>
        </w:tc>
      </w:tr>
      <w:tr w:rsidR="009469C6" w:rsidRPr="0084537A" w14:paraId="250165E5" w14:textId="77777777" w:rsidTr="009469C6">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84E138E" w14:textId="77777777" w:rsidR="009469C6" w:rsidRPr="00C31DBA" w:rsidRDefault="009469C6" w:rsidP="009469C6">
            <w:pPr>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 xml:space="preserve">Annual Average </w:t>
            </w:r>
          </w:p>
        </w:tc>
        <w:tc>
          <w:tcPr>
            <w:tcW w:w="1720" w:type="dxa"/>
            <w:tcBorders>
              <w:top w:val="nil"/>
              <w:left w:val="nil"/>
              <w:bottom w:val="single" w:sz="4" w:space="0" w:color="auto"/>
              <w:right w:val="single" w:sz="4" w:space="0" w:color="auto"/>
            </w:tcBorders>
            <w:shd w:val="clear" w:color="auto" w:fill="auto"/>
            <w:noWrap/>
            <w:vAlign w:val="bottom"/>
            <w:hideMark/>
          </w:tcPr>
          <w:p w14:paraId="3650DC25"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$30,202,596</w:t>
            </w:r>
          </w:p>
        </w:tc>
        <w:tc>
          <w:tcPr>
            <w:tcW w:w="1960" w:type="dxa"/>
            <w:tcBorders>
              <w:top w:val="nil"/>
              <w:left w:val="nil"/>
              <w:bottom w:val="single" w:sz="4" w:space="0" w:color="auto"/>
              <w:right w:val="single" w:sz="4" w:space="0" w:color="auto"/>
            </w:tcBorders>
            <w:shd w:val="clear" w:color="auto" w:fill="auto"/>
            <w:noWrap/>
            <w:vAlign w:val="bottom"/>
            <w:hideMark/>
          </w:tcPr>
          <w:p w14:paraId="571A3BB3"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$24,531,450</w:t>
            </w:r>
          </w:p>
        </w:tc>
        <w:tc>
          <w:tcPr>
            <w:tcW w:w="1540" w:type="dxa"/>
            <w:tcBorders>
              <w:top w:val="nil"/>
              <w:left w:val="nil"/>
              <w:bottom w:val="single" w:sz="4" w:space="0" w:color="auto"/>
              <w:right w:val="single" w:sz="4" w:space="0" w:color="auto"/>
            </w:tcBorders>
            <w:shd w:val="clear" w:color="auto" w:fill="auto"/>
            <w:noWrap/>
            <w:vAlign w:val="bottom"/>
            <w:hideMark/>
          </w:tcPr>
          <w:p w14:paraId="24712E13"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$5,663,842</w:t>
            </w:r>
          </w:p>
        </w:tc>
      </w:tr>
      <w:tr w:rsidR="009469C6" w:rsidRPr="0084537A" w14:paraId="58914633" w14:textId="77777777" w:rsidTr="009469C6">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1AED79C" w14:textId="77777777" w:rsidR="009469C6" w:rsidRPr="00C31DBA" w:rsidRDefault="009469C6" w:rsidP="009469C6">
            <w:pPr>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Total</w:t>
            </w:r>
          </w:p>
        </w:tc>
        <w:tc>
          <w:tcPr>
            <w:tcW w:w="1720" w:type="dxa"/>
            <w:tcBorders>
              <w:top w:val="nil"/>
              <w:left w:val="nil"/>
              <w:bottom w:val="single" w:sz="4" w:space="0" w:color="auto"/>
              <w:right w:val="single" w:sz="4" w:space="0" w:color="auto"/>
            </w:tcBorders>
            <w:shd w:val="clear" w:color="auto" w:fill="auto"/>
            <w:noWrap/>
            <w:vAlign w:val="bottom"/>
            <w:hideMark/>
          </w:tcPr>
          <w:p w14:paraId="6B925835"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$211,418,172</w:t>
            </w:r>
          </w:p>
        </w:tc>
        <w:tc>
          <w:tcPr>
            <w:tcW w:w="1960" w:type="dxa"/>
            <w:tcBorders>
              <w:top w:val="nil"/>
              <w:left w:val="nil"/>
              <w:bottom w:val="single" w:sz="4" w:space="0" w:color="auto"/>
              <w:right w:val="single" w:sz="4" w:space="0" w:color="auto"/>
            </w:tcBorders>
            <w:shd w:val="clear" w:color="auto" w:fill="auto"/>
            <w:noWrap/>
            <w:vAlign w:val="bottom"/>
            <w:hideMark/>
          </w:tcPr>
          <w:p w14:paraId="684ECF9B"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$171,720,150</w:t>
            </w:r>
          </w:p>
        </w:tc>
        <w:tc>
          <w:tcPr>
            <w:tcW w:w="1540" w:type="dxa"/>
            <w:tcBorders>
              <w:top w:val="nil"/>
              <w:left w:val="nil"/>
              <w:bottom w:val="single" w:sz="4" w:space="0" w:color="auto"/>
              <w:right w:val="single" w:sz="4" w:space="0" w:color="auto"/>
            </w:tcBorders>
            <w:shd w:val="clear" w:color="auto" w:fill="auto"/>
            <w:noWrap/>
            <w:vAlign w:val="bottom"/>
            <w:hideMark/>
          </w:tcPr>
          <w:p w14:paraId="327F4BF2" w14:textId="77777777" w:rsidR="009469C6" w:rsidRPr="00C31DBA" w:rsidRDefault="009469C6" w:rsidP="009469C6">
            <w:pPr>
              <w:jc w:val="right"/>
              <w:rPr>
                <w:rFonts w:ascii="Calibri" w:eastAsia="Times New Roman" w:hAnsi="Calibri" w:cs="Times New Roman"/>
                <w:color w:val="000000"/>
                <w:sz w:val="22"/>
                <w:szCs w:val="22"/>
              </w:rPr>
            </w:pPr>
            <w:r w:rsidRPr="00C31DBA">
              <w:rPr>
                <w:rFonts w:ascii="Calibri" w:eastAsia="Times New Roman" w:hAnsi="Calibri" w:cs="Times New Roman"/>
                <w:color w:val="000000"/>
                <w:sz w:val="22"/>
                <w:szCs w:val="22"/>
              </w:rPr>
              <w:t>$39,646,896</w:t>
            </w:r>
          </w:p>
        </w:tc>
      </w:tr>
    </w:tbl>
    <w:p w14:paraId="37DE3555" w14:textId="77777777" w:rsidR="004A0EE3" w:rsidRDefault="004A0EE3" w:rsidP="002E64D9"/>
    <w:p w14:paraId="167E04B2" w14:textId="327BC755" w:rsidR="00757BF0" w:rsidRDefault="004A0EE3" w:rsidP="002E64D9">
      <w:r>
        <w:t xml:space="preserve">Primavera’s charter contract was up for renewal in July 2016. </w:t>
      </w:r>
      <w:r w:rsidR="009469C6">
        <w:t xml:space="preserve">On May 21, 2015, the Board of PTLC met to discuss the future of the charter school.  There apparently was great concern among the </w:t>
      </w:r>
      <w:r w:rsidR="00E43D22">
        <w:t xml:space="preserve">PTLC </w:t>
      </w:r>
      <w:r w:rsidR="009469C6">
        <w:t xml:space="preserve">Board regarding the future </w:t>
      </w:r>
      <w:r w:rsidR="007E7A3E">
        <w:t>of Primavera Online, despite it</w:t>
      </w:r>
      <w:r w:rsidR="009469C6">
        <w:t xml:space="preserve">s </w:t>
      </w:r>
      <w:r w:rsidR="007E7A3E">
        <w:t>great ear</w:t>
      </w:r>
      <w:r w:rsidR="00E330D4">
        <w:t>nings.  The Board minutes reflec</w:t>
      </w:r>
      <w:r w:rsidR="007E7A3E">
        <w:t>t their concern:</w:t>
      </w:r>
      <w:r w:rsidR="00757BF0">
        <w:rPr>
          <w:rStyle w:val="FootnoteReference"/>
        </w:rPr>
        <w:footnoteReference w:id="2"/>
      </w:r>
    </w:p>
    <w:p w14:paraId="7B86DF73" w14:textId="77777777" w:rsidR="00757BF0" w:rsidRDefault="00757BF0" w:rsidP="002E64D9"/>
    <w:p w14:paraId="7AE04296" w14:textId="086776F2" w:rsidR="00C55B19" w:rsidRDefault="005100EC">
      <w:r>
        <w:rPr>
          <w:noProof/>
        </w:rPr>
        <w:drawing>
          <wp:inline distT="0" distB="0" distL="0" distR="0" wp14:anchorId="075CE799" wp14:editId="23092FCE">
            <wp:extent cx="4457700" cy="3973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LC Board meetin -1.png"/>
                    <pic:cNvPicPr/>
                  </pic:nvPicPr>
                  <pic:blipFill>
                    <a:blip r:embed="rId8">
                      <a:extLst>
                        <a:ext uri="{28A0092B-C50C-407E-A947-70E740481C1C}">
                          <a14:useLocalDpi xmlns:a14="http://schemas.microsoft.com/office/drawing/2010/main" val="0"/>
                        </a:ext>
                      </a:extLst>
                    </a:blip>
                    <a:stretch>
                      <a:fillRect/>
                    </a:stretch>
                  </pic:blipFill>
                  <pic:spPr>
                    <a:xfrm>
                      <a:off x="0" y="0"/>
                      <a:ext cx="4459702" cy="3975020"/>
                    </a:xfrm>
                    <a:prstGeom prst="rect">
                      <a:avLst/>
                    </a:prstGeom>
                  </pic:spPr>
                </pic:pic>
              </a:graphicData>
            </a:graphic>
          </wp:inline>
        </w:drawing>
      </w:r>
    </w:p>
    <w:p w14:paraId="0037473A" w14:textId="77777777" w:rsidR="00757BF0" w:rsidRDefault="00757BF0"/>
    <w:p w14:paraId="10F01667" w14:textId="5994862B" w:rsidR="005100EC" w:rsidRPr="007D6A79" w:rsidRDefault="00C31DBA">
      <w:pPr>
        <w:rPr>
          <w:i/>
        </w:rPr>
      </w:pPr>
      <w:r>
        <w:lastRenderedPageBreak/>
        <w:t>The most prosperous</w:t>
      </w:r>
      <w:r w:rsidR="005100EC">
        <w:t xml:space="preserve"> non-profit </w:t>
      </w:r>
      <w:r>
        <w:t>charter school</w:t>
      </w:r>
      <w:r w:rsidR="005100EC">
        <w:t xml:space="preserve"> in Arizona</w:t>
      </w:r>
      <w:r w:rsidR="0084537A">
        <w:t xml:space="preserve"> was afraid that </w:t>
      </w:r>
      <w:r w:rsidR="0084537A" w:rsidRPr="007D6A79">
        <w:rPr>
          <w:i/>
        </w:rPr>
        <w:t>“</w:t>
      </w:r>
      <w:r w:rsidR="007D6A79" w:rsidRPr="007D6A79">
        <w:rPr>
          <w:i/>
        </w:rPr>
        <w:t>…</w:t>
      </w:r>
      <w:r w:rsidR="0084537A" w:rsidRPr="007D6A79">
        <w:rPr>
          <w:i/>
        </w:rPr>
        <w:t>economic trend</w:t>
      </w:r>
      <w:r w:rsidR="005100EC" w:rsidRPr="007D6A79">
        <w:rPr>
          <w:i/>
        </w:rPr>
        <w:t>s and the</w:t>
      </w:r>
      <w:r w:rsidR="0084537A" w:rsidRPr="007D6A79">
        <w:rPr>
          <w:i/>
        </w:rPr>
        <w:t xml:space="preserve"> cost of upgrading the company’s engines (i.e., curriculum development, </w:t>
      </w:r>
      <w:r w:rsidR="008921AC" w:rsidRPr="007D6A79">
        <w:rPr>
          <w:i/>
        </w:rPr>
        <w:t>etc.</w:t>
      </w:r>
      <w:r w:rsidR="0084537A" w:rsidRPr="007D6A79">
        <w:rPr>
          <w:i/>
        </w:rPr>
        <w:t>) indicate that Primavera will shortly c</w:t>
      </w:r>
      <w:r w:rsidR="00800710">
        <w:rPr>
          <w:i/>
        </w:rPr>
        <w:t>ease generating excess revenues.</w:t>
      </w:r>
      <w:r w:rsidR="0084537A" w:rsidRPr="007D6A79">
        <w:rPr>
          <w:i/>
        </w:rPr>
        <w:t>”</w:t>
      </w:r>
    </w:p>
    <w:p w14:paraId="3575199A" w14:textId="77777777" w:rsidR="0084537A" w:rsidRDefault="0084537A"/>
    <w:p w14:paraId="686400AF" w14:textId="7DB4203C" w:rsidR="0084537A" w:rsidRDefault="0001556D">
      <w:r>
        <w:t>With this in mind, The PTLC Board</w:t>
      </w:r>
      <w:r w:rsidR="001F505E">
        <w:t>,</w:t>
      </w:r>
      <w:r>
        <w:t xml:space="preserve"> </w:t>
      </w:r>
      <w:r w:rsidR="00C55B19">
        <w:t xml:space="preserve">at the same May 21, 2015 meeting, </w:t>
      </w:r>
      <w:r w:rsidR="004A0EE3">
        <w:t>decided to handle the</w:t>
      </w:r>
      <w:r>
        <w:t xml:space="preserve"> possibility of “not generating excess revenue” in this way:</w:t>
      </w:r>
      <w:r w:rsidR="007E7A3E">
        <w:rPr>
          <w:rStyle w:val="FootnoteReference"/>
        </w:rPr>
        <w:footnoteReference w:id="3"/>
      </w:r>
    </w:p>
    <w:p w14:paraId="5F7B2E50" w14:textId="77777777" w:rsidR="0084537A" w:rsidRDefault="0084537A"/>
    <w:p w14:paraId="13AC8CC1" w14:textId="77777777" w:rsidR="0084537A" w:rsidRDefault="0084537A">
      <w:r>
        <w:rPr>
          <w:noProof/>
        </w:rPr>
        <w:drawing>
          <wp:inline distT="0" distB="0" distL="0" distR="0" wp14:anchorId="7A9653C5" wp14:editId="4A8068A1">
            <wp:extent cx="4343400" cy="30328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LC Board Meeting 2.png"/>
                    <pic:cNvPicPr/>
                  </pic:nvPicPr>
                  <pic:blipFill>
                    <a:blip r:embed="rId9">
                      <a:extLst>
                        <a:ext uri="{28A0092B-C50C-407E-A947-70E740481C1C}">
                          <a14:useLocalDpi xmlns:a14="http://schemas.microsoft.com/office/drawing/2010/main" val="0"/>
                        </a:ext>
                      </a:extLst>
                    </a:blip>
                    <a:stretch>
                      <a:fillRect/>
                    </a:stretch>
                  </pic:blipFill>
                  <pic:spPr>
                    <a:xfrm>
                      <a:off x="0" y="0"/>
                      <a:ext cx="4344929" cy="3033906"/>
                    </a:xfrm>
                    <a:prstGeom prst="rect">
                      <a:avLst/>
                    </a:prstGeom>
                  </pic:spPr>
                </pic:pic>
              </a:graphicData>
            </a:graphic>
          </wp:inline>
        </w:drawing>
      </w:r>
    </w:p>
    <w:p w14:paraId="3B3AD0A4" w14:textId="77777777" w:rsidR="007E7A3E" w:rsidRDefault="007E7A3E"/>
    <w:p w14:paraId="5DA08BD9" w14:textId="747FCDC6" w:rsidR="0001556D" w:rsidRDefault="0001556D">
      <w:r>
        <w:t xml:space="preserve">The Board of PTLC voted not to renew </w:t>
      </w:r>
      <w:r w:rsidR="008B1848">
        <w:t xml:space="preserve">its </w:t>
      </w:r>
      <w:r>
        <w:t xml:space="preserve">charter contract and </w:t>
      </w:r>
      <w:r w:rsidR="00E43D22">
        <w:t xml:space="preserve">instead </w:t>
      </w:r>
      <w:r>
        <w:t xml:space="preserve">assigned </w:t>
      </w:r>
      <w:r w:rsidR="00CB2847">
        <w:t>the</w:t>
      </w:r>
      <w:r>
        <w:t xml:space="preserve"> charter contract to the</w:t>
      </w:r>
      <w:r w:rsidR="00CB2847">
        <w:t>ir</w:t>
      </w:r>
      <w:r>
        <w:t xml:space="preserve"> for-profit software supplier, American Virtual Academy</w:t>
      </w:r>
      <w:r w:rsidR="00306934">
        <w:t xml:space="preserve"> Inc.</w:t>
      </w:r>
      <w:r w:rsidR="00572E6A">
        <w:t xml:space="preserve"> (AVA).</w:t>
      </w:r>
    </w:p>
    <w:p w14:paraId="7321E576" w14:textId="77777777" w:rsidR="00CB2847" w:rsidRDefault="00CB2847"/>
    <w:p w14:paraId="766CD3B4" w14:textId="662D8839" w:rsidR="00CB2847" w:rsidRDefault="008B1848">
      <w:r>
        <w:t xml:space="preserve">PTLC’s </w:t>
      </w:r>
      <w:r w:rsidR="00CB2847">
        <w:t xml:space="preserve">only business was the operation of Primavera Online Academy.  PTLC basically put itself out of the charter school business after amassing assets of over $44 million.  They did not dissolve the non-profit.  It still exists </w:t>
      </w:r>
      <w:r w:rsidR="001F505E">
        <w:t>–</w:t>
      </w:r>
      <w:r w:rsidR="008921AC">
        <w:t xml:space="preserve"> </w:t>
      </w:r>
      <w:r w:rsidR="001F505E">
        <w:t>PTLC just isn’t</w:t>
      </w:r>
      <w:r w:rsidR="00CB2847">
        <w:t xml:space="preserve"> in </w:t>
      </w:r>
      <w:r w:rsidR="00ED636A">
        <w:t xml:space="preserve">the charter school </w:t>
      </w:r>
      <w:r w:rsidR="00CB2847">
        <w:t>business any more.</w:t>
      </w:r>
      <w:r>
        <w:t xml:space="preserve"> </w:t>
      </w:r>
      <w:r w:rsidR="007D6A79">
        <w:t xml:space="preserve">Their $44 million stockpile of cash </w:t>
      </w:r>
      <w:r w:rsidR="00E330D4">
        <w:t>is still there, as far as we know.</w:t>
      </w:r>
      <w:r w:rsidR="00E330D4" w:rsidRPr="00E330D4">
        <w:rPr>
          <w:rStyle w:val="FootnoteReference"/>
        </w:rPr>
        <w:t xml:space="preserve"> </w:t>
      </w:r>
      <w:r w:rsidR="00E330D4">
        <w:rPr>
          <w:rStyle w:val="FootnoteReference"/>
        </w:rPr>
        <w:footnoteReference w:id="4"/>
      </w:r>
      <w:r w:rsidR="00572E6A">
        <w:t xml:space="preserve">  </w:t>
      </w:r>
      <w:r w:rsidR="00ED636A">
        <w:t>Their only source of income n</w:t>
      </w:r>
      <w:r w:rsidR="00E330D4">
        <w:t>ow appears to be in real estate leases.</w:t>
      </w:r>
    </w:p>
    <w:p w14:paraId="480299B3" w14:textId="77777777" w:rsidR="008B1848" w:rsidRDefault="008B1848"/>
    <w:p w14:paraId="26CF44DE" w14:textId="109B2B6A" w:rsidR="008B1848" w:rsidRDefault="00306934">
      <w:r>
        <w:lastRenderedPageBreak/>
        <w:t>PTLC’s Board approved the</w:t>
      </w:r>
      <w:r w:rsidR="008B1848">
        <w:t xml:space="preserve"> purchase of four pieces of real</w:t>
      </w:r>
      <w:r w:rsidR="00ED636A">
        <w:t xml:space="preserve"> </w:t>
      </w:r>
      <w:r w:rsidR="008B1848">
        <w:t>estate</w:t>
      </w:r>
      <w:r w:rsidR="00ED636A">
        <w:t xml:space="preserve"> </w:t>
      </w:r>
      <w:r w:rsidR="006D194D">
        <w:t>the following month</w:t>
      </w:r>
      <w:r w:rsidR="008921AC">
        <w:t>, June</w:t>
      </w:r>
      <w:r w:rsidR="00C74404">
        <w:t xml:space="preserve"> 25,</w:t>
      </w:r>
      <w:r w:rsidR="00ED636A">
        <w:t xml:space="preserve">2015, years after </w:t>
      </w:r>
      <w:r w:rsidR="006D194D">
        <w:t>most of purchases were made</w:t>
      </w:r>
      <w:r w:rsidR="00E330D4">
        <w:t>.</w:t>
      </w:r>
      <w:r w:rsidR="00E330D4">
        <w:rPr>
          <w:rStyle w:val="FootnoteReference"/>
        </w:rPr>
        <w:footnoteReference w:id="5"/>
      </w:r>
      <w:r w:rsidR="006D194D">
        <w:t xml:space="preserve"> </w:t>
      </w:r>
      <w:r w:rsidR="00ED636A">
        <w:t xml:space="preserve">One property was purchased on May 29, 2015, a week </w:t>
      </w:r>
      <w:r w:rsidR="00ED636A" w:rsidRPr="00ED636A">
        <w:rPr>
          <w:i/>
        </w:rPr>
        <w:t xml:space="preserve">after </w:t>
      </w:r>
      <w:r w:rsidR="00ED636A">
        <w:t xml:space="preserve">the Board voted to </w:t>
      </w:r>
      <w:r w:rsidR="00E330D4">
        <w:t xml:space="preserve">relinquish the school </w:t>
      </w:r>
      <w:r w:rsidR="00ED636A">
        <w:t xml:space="preserve"> to AVA.  </w:t>
      </w:r>
      <w:r w:rsidR="006D194D">
        <w:t xml:space="preserve">The property </w:t>
      </w:r>
      <w:r>
        <w:t xml:space="preserve">is </w:t>
      </w:r>
      <w:r w:rsidR="006D194D">
        <w:t>at 2501 N. Arizona Ave</w:t>
      </w:r>
      <w:r w:rsidR="00A048C8">
        <w:t>nue</w:t>
      </w:r>
      <w:r w:rsidR="008921AC">
        <w:t>, next</w:t>
      </w:r>
      <w:r w:rsidR="00A048C8">
        <w:t xml:space="preserve"> door to the Primavera Online Headquarters. </w:t>
      </w:r>
      <w:r w:rsidR="00ED636A">
        <w:t xml:space="preserve">The Board agenda states that the property cost $2,525,000 and was to be used to house Primavera support services and provide for future expansion.  PTLC had already voted to give its charter </w:t>
      </w:r>
      <w:r w:rsidR="00572E6A">
        <w:t xml:space="preserve">for Primavera Online </w:t>
      </w:r>
      <w:r w:rsidR="00E330D4">
        <w:t>to AVA,</w:t>
      </w:r>
      <w:r w:rsidR="00757BF0">
        <w:t xml:space="preserve"> </w:t>
      </w:r>
      <w:r w:rsidR="00E330D4">
        <w:t>so it is odd that they</w:t>
      </w:r>
      <w:r w:rsidR="00A033C7">
        <w:t xml:space="preserve"> b</w:t>
      </w:r>
      <w:r w:rsidR="00E330D4">
        <w:t>ought</w:t>
      </w:r>
      <w:r w:rsidR="00A033C7">
        <w:t xml:space="preserve"> real estate to</w:t>
      </w:r>
      <w:r>
        <w:t xml:space="preserve"> </w:t>
      </w:r>
      <w:r w:rsidR="00E330D4">
        <w:t xml:space="preserve">house future </w:t>
      </w:r>
      <w:r>
        <w:t>school operations</w:t>
      </w:r>
      <w:r w:rsidR="00E330D4">
        <w:t>.</w:t>
      </w:r>
      <w:r w:rsidR="00C55B19">
        <w:rPr>
          <w:rStyle w:val="FootnoteReference"/>
        </w:rPr>
        <w:footnoteReference w:id="6"/>
      </w:r>
      <w:r>
        <w:t xml:space="preserve">  See T</w:t>
      </w:r>
      <w:r w:rsidR="00A033C7">
        <w:t>able</w:t>
      </w:r>
      <w:r>
        <w:t xml:space="preserve"> 2</w:t>
      </w:r>
      <w:r w:rsidR="00572E6A">
        <w:t>.</w:t>
      </w:r>
    </w:p>
    <w:p w14:paraId="472AB102" w14:textId="77777777" w:rsidR="007E7A3E" w:rsidRDefault="007E7A3E"/>
    <w:p w14:paraId="627BE094" w14:textId="45638474" w:rsidR="00572E6A" w:rsidRPr="00572E6A" w:rsidRDefault="00572E6A">
      <w:pPr>
        <w:rPr>
          <w:sz w:val="22"/>
          <w:szCs w:val="22"/>
        </w:rPr>
      </w:pPr>
      <w:r w:rsidRPr="00932B15">
        <w:rPr>
          <w:b/>
          <w:sz w:val="22"/>
          <w:szCs w:val="22"/>
        </w:rPr>
        <w:t>Table 2</w:t>
      </w:r>
      <w:r w:rsidRPr="00572E6A">
        <w:rPr>
          <w:sz w:val="22"/>
          <w:szCs w:val="22"/>
        </w:rPr>
        <w:t xml:space="preserve"> Property purchases by Primavera Technical Learning Center</w:t>
      </w:r>
    </w:p>
    <w:tbl>
      <w:tblPr>
        <w:tblW w:w="9960" w:type="dxa"/>
        <w:tblInd w:w="93" w:type="dxa"/>
        <w:tblLook w:val="04A0" w:firstRow="1" w:lastRow="0" w:firstColumn="1" w:lastColumn="0" w:noHBand="0" w:noVBand="1"/>
      </w:tblPr>
      <w:tblGrid>
        <w:gridCol w:w="2280"/>
        <w:gridCol w:w="2200"/>
        <w:gridCol w:w="1820"/>
        <w:gridCol w:w="1820"/>
        <w:gridCol w:w="1840"/>
      </w:tblGrid>
      <w:tr w:rsidR="00EA3172" w:rsidRPr="00EA3172" w14:paraId="7C141543" w14:textId="77777777" w:rsidTr="00C74404">
        <w:trPr>
          <w:trHeight w:val="323"/>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9B16E" w14:textId="02459C5B"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 </w:t>
            </w:r>
            <w:r w:rsidR="004A0EE3">
              <w:rPr>
                <w:rFonts w:ascii="Calibri" w:eastAsia="Times New Roman" w:hAnsi="Calibri" w:cs="Times New Roman"/>
                <w:color w:val="000000"/>
                <w:sz w:val="22"/>
                <w:szCs w:val="22"/>
              </w:rPr>
              <w:t>Purchase date</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75C8AFD6" w14:textId="77777777"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November 13 2009</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F0E8DA5" w14:textId="77777777"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August 28 2012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C5CB1CE" w14:textId="77777777"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February 3 2014</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B1E14E2" w14:textId="77777777"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May 29 2015</w:t>
            </w:r>
          </w:p>
        </w:tc>
      </w:tr>
      <w:tr w:rsidR="00EA3172" w:rsidRPr="00EA3172" w14:paraId="471C4143" w14:textId="77777777" w:rsidTr="00C74404">
        <w:trPr>
          <w:trHeight w:val="1070"/>
        </w:trPr>
        <w:tc>
          <w:tcPr>
            <w:tcW w:w="2280" w:type="dxa"/>
            <w:tcBorders>
              <w:top w:val="nil"/>
              <w:left w:val="single" w:sz="4" w:space="0" w:color="auto"/>
              <w:bottom w:val="single" w:sz="4" w:space="0" w:color="auto"/>
              <w:right w:val="single" w:sz="4" w:space="0" w:color="auto"/>
            </w:tcBorders>
            <w:shd w:val="clear" w:color="auto" w:fill="auto"/>
            <w:vAlign w:val="bottom"/>
            <w:hideMark/>
          </w:tcPr>
          <w:p w14:paraId="2980B296" w14:textId="77777777"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PTLC Property Address</w:t>
            </w:r>
          </w:p>
        </w:tc>
        <w:tc>
          <w:tcPr>
            <w:tcW w:w="2200" w:type="dxa"/>
            <w:tcBorders>
              <w:top w:val="nil"/>
              <w:left w:val="nil"/>
              <w:bottom w:val="single" w:sz="4" w:space="0" w:color="auto"/>
              <w:right w:val="single" w:sz="4" w:space="0" w:color="auto"/>
            </w:tcBorders>
            <w:shd w:val="clear" w:color="auto" w:fill="auto"/>
            <w:vAlign w:val="bottom"/>
            <w:hideMark/>
          </w:tcPr>
          <w:p w14:paraId="494FF916" w14:textId="26C6770F"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2471 N. Arizona Avenue Chandler, AZ</w:t>
            </w:r>
          </w:p>
        </w:tc>
        <w:tc>
          <w:tcPr>
            <w:tcW w:w="1820" w:type="dxa"/>
            <w:tcBorders>
              <w:top w:val="nil"/>
              <w:left w:val="nil"/>
              <w:bottom w:val="single" w:sz="4" w:space="0" w:color="auto"/>
              <w:right w:val="single" w:sz="4" w:space="0" w:color="auto"/>
            </w:tcBorders>
            <w:shd w:val="clear" w:color="auto" w:fill="auto"/>
            <w:vAlign w:val="bottom"/>
            <w:hideMark/>
          </w:tcPr>
          <w:p w14:paraId="1C139D9B" w14:textId="09C6B2CF"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2451 N. Arizona Avenue Chandler, AZ</w:t>
            </w:r>
          </w:p>
        </w:tc>
        <w:tc>
          <w:tcPr>
            <w:tcW w:w="1820" w:type="dxa"/>
            <w:tcBorders>
              <w:top w:val="nil"/>
              <w:left w:val="nil"/>
              <w:bottom w:val="single" w:sz="4" w:space="0" w:color="auto"/>
              <w:right w:val="single" w:sz="4" w:space="0" w:color="auto"/>
            </w:tcBorders>
            <w:shd w:val="clear" w:color="auto" w:fill="auto"/>
            <w:vAlign w:val="bottom"/>
            <w:hideMark/>
          </w:tcPr>
          <w:p w14:paraId="37920A44" w14:textId="26D23558"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Southwest corner of Dysart Rd. and Thomas Road Goodyear, AZ</w:t>
            </w:r>
          </w:p>
        </w:tc>
        <w:tc>
          <w:tcPr>
            <w:tcW w:w="1840" w:type="dxa"/>
            <w:tcBorders>
              <w:top w:val="nil"/>
              <w:left w:val="nil"/>
              <w:bottom w:val="single" w:sz="4" w:space="0" w:color="auto"/>
              <w:right w:val="single" w:sz="4" w:space="0" w:color="auto"/>
            </w:tcBorders>
            <w:shd w:val="clear" w:color="auto" w:fill="auto"/>
            <w:vAlign w:val="bottom"/>
            <w:hideMark/>
          </w:tcPr>
          <w:p w14:paraId="78A0AD10" w14:textId="1220D672"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25</w:t>
            </w:r>
            <w:r w:rsidR="00563D8C">
              <w:rPr>
                <w:rFonts w:ascii="Calibri" w:eastAsia="Times New Roman" w:hAnsi="Calibri" w:cs="Times New Roman"/>
                <w:color w:val="000000"/>
                <w:sz w:val="22"/>
                <w:szCs w:val="22"/>
              </w:rPr>
              <w:t>01 N Arizona Avenue Chandler AZ</w:t>
            </w:r>
          </w:p>
        </w:tc>
      </w:tr>
      <w:tr w:rsidR="00EA3172" w:rsidRPr="00EA3172" w14:paraId="32B1372D" w14:textId="77777777" w:rsidTr="00EA3172">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22008A53" w14:textId="77777777"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Sales Price</w:t>
            </w:r>
          </w:p>
        </w:tc>
        <w:tc>
          <w:tcPr>
            <w:tcW w:w="2200" w:type="dxa"/>
            <w:tcBorders>
              <w:top w:val="nil"/>
              <w:left w:val="nil"/>
              <w:bottom w:val="single" w:sz="4" w:space="0" w:color="auto"/>
              <w:right w:val="single" w:sz="4" w:space="0" w:color="auto"/>
            </w:tcBorders>
            <w:shd w:val="clear" w:color="auto" w:fill="auto"/>
            <w:noWrap/>
            <w:vAlign w:val="bottom"/>
            <w:hideMark/>
          </w:tcPr>
          <w:p w14:paraId="09C7439C" w14:textId="77777777" w:rsidR="00EA3172" w:rsidRPr="00C74404" w:rsidRDefault="00EA3172" w:rsidP="00757BF0">
            <w:pPr>
              <w:jc w:val="cente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 xml:space="preserve">$1,900,000 </w:t>
            </w:r>
          </w:p>
        </w:tc>
        <w:tc>
          <w:tcPr>
            <w:tcW w:w="1820" w:type="dxa"/>
            <w:tcBorders>
              <w:top w:val="nil"/>
              <w:left w:val="nil"/>
              <w:bottom w:val="single" w:sz="4" w:space="0" w:color="auto"/>
              <w:right w:val="single" w:sz="4" w:space="0" w:color="auto"/>
            </w:tcBorders>
            <w:shd w:val="clear" w:color="auto" w:fill="auto"/>
            <w:noWrap/>
            <w:vAlign w:val="bottom"/>
            <w:hideMark/>
          </w:tcPr>
          <w:p w14:paraId="3C7966A7" w14:textId="77777777" w:rsidR="00EA3172" w:rsidRPr="00C74404" w:rsidRDefault="00EA3172" w:rsidP="00757BF0">
            <w:pPr>
              <w:jc w:val="cente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 xml:space="preserve">$750,000 </w:t>
            </w:r>
          </w:p>
        </w:tc>
        <w:tc>
          <w:tcPr>
            <w:tcW w:w="1820" w:type="dxa"/>
            <w:tcBorders>
              <w:top w:val="nil"/>
              <w:left w:val="nil"/>
              <w:bottom w:val="single" w:sz="4" w:space="0" w:color="auto"/>
              <w:right w:val="single" w:sz="4" w:space="0" w:color="auto"/>
            </w:tcBorders>
            <w:shd w:val="clear" w:color="auto" w:fill="auto"/>
            <w:noWrap/>
            <w:vAlign w:val="bottom"/>
            <w:hideMark/>
          </w:tcPr>
          <w:p w14:paraId="1863EA3D" w14:textId="77777777" w:rsidR="00EA3172" w:rsidRPr="00C74404" w:rsidRDefault="00EA3172" w:rsidP="00757BF0">
            <w:pPr>
              <w:jc w:val="cente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 xml:space="preserve">$1,500,000 </w:t>
            </w:r>
          </w:p>
        </w:tc>
        <w:tc>
          <w:tcPr>
            <w:tcW w:w="1840" w:type="dxa"/>
            <w:tcBorders>
              <w:top w:val="nil"/>
              <w:left w:val="nil"/>
              <w:bottom w:val="single" w:sz="4" w:space="0" w:color="auto"/>
              <w:right w:val="single" w:sz="4" w:space="0" w:color="auto"/>
            </w:tcBorders>
            <w:shd w:val="clear" w:color="auto" w:fill="auto"/>
            <w:noWrap/>
            <w:vAlign w:val="bottom"/>
            <w:hideMark/>
          </w:tcPr>
          <w:p w14:paraId="4C1DEA45" w14:textId="77777777" w:rsidR="00EA3172" w:rsidRPr="00C74404" w:rsidRDefault="00EA3172" w:rsidP="00757BF0">
            <w:pPr>
              <w:jc w:val="cente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 xml:space="preserve">$2,525,000 </w:t>
            </w:r>
          </w:p>
        </w:tc>
      </w:tr>
      <w:tr w:rsidR="00EA3172" w:rsidRPr="00EA3172" w14:paraId="52A449B4" w14:textId="77777777" w:rsidTr="00EA3172">
        <w:trPr>
          <w:trHeight w:val="900"/>
        </w:trPr>
        <w:tc>
          <w:tcPr>
            <w:tcW w:w="2280" w:type="dxa"/>
            <w:tcBorders>
              <w:top w:val="nil"/>
              <w:left w:val="single" w:sz="4" w:space="0" w:color="auto"/>
              <w:bottom w:val="single" w:sz="4" w:space="0" w:color="auto"/>
              <w:right w:val="single" w:sz="4" w:space="0" w:color="auto"/>
            </w:tcBorders>
            <w:shd w:val="clear" w:color="auto" w:fill="auto"/>
            <w:vAlign w:val="bottom"/>
            <w:hideMark/>
          </w:tcPr>
          <w:p w14:paraId="539E9895" w14:textId="77777777"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Intended Use</w:t>
            </w:r>
          </w:p>
        </w:tc>
        <w:tc>
          <w:tcPr>
            <w:tcW w:w="2200" w:type="dxa"/>
            <w:tcBorders>
              <w:top w:val="nil"/>
              <w:left w:val="nil"/>
              <w:bottom w:val="single" w:sz="4" w:space="0" w:color="auto"/>
              <w:right w:val="single" w:sz="4" w:space="0" w:color="auto"/>
            </w:tcBorders>
            <w:shd w:val="clear" w:color="auto" w:fill="auto"/>
            <w:vAlign w:val="bottom"/>
            <w:hideMark/>
          </w:tcPr>
          <w:p w14:paraId="065060CD" w14:textId="77777777"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Present Primavera Online Site</w:t>
            </w:r>
          </w:p>
        </w:tc>
        <w:tc>
          <w:tcPr>
            <w:tcW w:w="1820" w:type="dxa"/>
            <w:tcBorders>
              <w:top w:val="nil"/>
              <w:left w:val="nil"/>
              <w:bottom w:val="single" w:sz="4" w:space="0" w:color="auto"/>
              <w:right w:val="single" w:sz="4" w:space="0" w:color="auto"/>
            </w:tcBorders>
            <w:shd w:val="clear" w:color="auto" w:fill="auto"/>
            <w:vAlign w:val="bottom"/>
            <w:hideMark/>
          </w:tcPr>
          <w:p w14:paraId="549E55B0" w14:textId="77777777"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Present Primavera Site</w:t>
            </w:r>
          </w:p>
        </w:tc>
        <w:tc>
          <w:tcPr>
            <w:tcW w:w="1820" w:type="dxa"/>
            <w:tcBorders>
              <w:top w:val="nil"/>
              <w:left w:val="nil"/>
              <w:bottom w:val="single" w:sz="4" w:space="0" w:color="auto"/>
              <w:right w:val="single" w:sz="4" w:space="0" w:color="auto"/>
            </w:tcBorders>
            <w:shd w:val="clear" w:color="auto" w:fill="auto"/>
            <w:vAlign w:val="bottom"/>
            <w:hideMark/>
          </w:tcPr>
          <w:p w14:paraId="594A2A23" w14:textId="06D08823"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Future West Phoenix PTLC Site</w:t>
            </w:r>
          </w:p>
        </w:tc>
        <w:tc>
          <w:tcPr>
            <w:tcW w:w="1840" w:type="dxa"/>
            <w:tcBorders>
              <w:top w:val="nil"/>
              <w:left w:val="nil"/>
              <w:bottom w:val="single" w:sz="4" w:space="0" w:color="auto"/>
              <w:right w:val="single" w:sz="4" w:space="0" w:color="auto"/>
            </w:tcBorders>
            <w:shd w:val="clear" w:color="auto" w:fill="auto"/>
            <w:vAlign w:val="bottom"/>
            <w:hideMark/>
          </w:tcPr>
          <w:p w14:paraId="0D3F5B75" w14:textId="77777777" w:rsidR="00EA3172" w:rsidRPr="00C74404" w:rsidRDefault="00EA3172" w:rsidP="00EA3172">
            <w:pPr>
              <w:rPr>
                <w:rFonts w:ascii="Calibri" w:eastAsia="Times New Roman" w:hAnsi="Calibri" w:cs="Times New Roman"/>
                <w:color w:val="000000"/>
                <w:sz w:val="22"/>
                <w:szCs w:val="22"/>
              </w:rPr>
            </w:pPr>
            <w:r w:rsidRPr="00C74404">
              <w:rPr>
                <w:rFonts w:ascii="Calibri" w:eastAsia="Times New Roman" w:hAnsi="Calibri" w:cs="Times New Roman"/>
                <w:color w:val="000000"/>
                <w:sz w:val="22"/>
                <w:szCs w:val="22"/>
              </w:rPr>
              <w:t>House future Primavera support facilities</w:t>
            </w:r>
          </w:p>
        </w:tc>
      </w:tr>
    </w:tbl>
    <w:p w14:paraId="77740540" w14:textId="77777777" w:rsidR="006D194D" w:rsidRDefault="006D194D"/>
    <w:p w14:paraId="38FA5340" w14:textId="030C7ACD" w:rsidR="006D194D" w:rsidRDefault="006D194D">
      <w:r>
        <w:t xml:space="preserve">The Board of </w:t>
      </w:r>
      <w:r w:rsidR="00EA3172">
        <w:t xml:space="preserve">for-profit </w:t>
      </w:r>
      <w:r w:rsidR="007E7A3E">
        <w:t>Ame</w:t>
      </w:r>
      <w:r w:rsidR="00E330D4">
        <w:t>r</w:t>
      </w:r>
      <w:r w:rsidR="007E7A3E">
        <w:t>ican Virtual Academy</w:t>
      </w:r>
      <w:r>
        <w:t xml:space="preserve"> met on May 22, 2015.  There was only one person in attendance – Damian Creamer.  </w:t>
      </w:r>
      <w:r w:rsidR="00C74404">
        <w:t xml:space="preserve">Damian </w:t>
      </w:r>
      <w:r>
        <w:t>Creamer is the sole owner of AV</w:t>
      </w:r>
      <w:r w:rsidR="00A048C8">
        <w:t>A</w:t>
      </w:r>
      <w:r>
        <w:t xml:space="preserve"> and </w:t>
      </w:r>
      <w:r w:rsidR="00563D8C">
        <w:t>its</w:t>
      </w:r>
      <w:r>
        <w:t xml:space="preserve"> only board member.  Creamer made the motion </w:t>
      </w:r>
      <w:r w:rsidR="004A0EE3">
        <w:t>(</w:t>
      </w:r>
      <w:r>
        <w:t>and seconded it</w:t>
      </w:r>
      <w:r w:rsidR="004A0EE3">
        <w:t>)</w:t>
      </w:r>
      <w:r>
        <w:t xml:space="preserve"> to accept the transfer contract with PTLC.  The motion passed – unanimously.  Creamer then voted to retain the entire school board from PTLC to the new AVA owned Primavera On</w:t>
      </w:r>
      <w:r w:rsidR="00572E6A">
        <w:t>line.  Everything at Primavera O</w:t>
      </w:r>
      <w:r>
        <w:t>nline stayed the s</w:t>
      </w:r>
      <w:r w:rsidR="007E7A3E">
        <w:t>ame, except that Damian Creamer was now the sole owner of a for-profit charter school that generated an average of $5.6 million a year in profits.</w:t>
      </w:r>
      <w:r w:rsidR="00572E6A">
        <w:t xml:space="preserve"> </w:t>
      </w:r>
      <w:r w:rsidR="0060685B">
        <w:t>(See Appendix 2)</w:t>
      </w:r>
    </w:p>
    <w:p w14:paraId="7891AE25" w14:textId="77777777" w:rsidR="00CB2847" w:rsidRDefault="00CB2847"/>
    <w:p w14:paraId="39957D1F" w14:textId="69353AC3" w:rsidR="00370111" w:rsidRDefault="00CB2847">
      <w:r>
        <w:t xml:space="preserve">The </w:t>
      </w:r>
      <w:r w:rsidR="00D157E9">
        <w:t>Arizona State Board for Charter Schools</w:t>
      </w:r>
      <w:r>
        <w:t xml:space="preserve"> granted a new </w:t>
      </w:r>
      <w:r w:rsidR="008921AC">
        <w:t>20-year</w:t>
      </w:r>
      <w:r>
        <w:t xml:space="preserve"> charter contract for Primavera Online on June 15, </w:t>
      </w:r>
      <w:r w:rsidR="008921AC">
        <w:t>2015 and</w:t>
      </w:r>
      <w:r>
        <w:t xml:space="preserve"> changed </w:t>
      </w:r>
      <w:r w:rsidR="00370111">
        <w:t xml:space="preserve">the </w:t>
      </w:r>
      <w:r>
        <w:t>ownership</w:t>
      </w:r>
      <w:r w:rsidR="00370111">
        <w:t xml:space="preserve"> </w:t>
      </w:r>
      <w:r w:rsidR="00A048C8">
        <w:t xml:space="preserve">to the American Virtual Academy </w:t>
      </w:r>
      <w:r w:rsidR="00D157E9">
        <w:t xml:space="preserve">Inc. </w:t>
      </w:r>
      <w:r w:rsidR="00A048C8">
        <w:t>without discussion.</w:t>
      </w:r>
      <w:r w:rsidR="00A048C8">
        <w:rPr>
          <w:rStyle w:val="FootnoteReference"/>
        </w:rPr>
        <w:footnoteReference w:id="7"/>
      </w:r>
      <w:r w:rsidR="00370111">
        <w:t xml:space="preserve">  PTLC gave up a school that generated an average of over $5</w:t>
      </w:r>
      <w:r w:rsidR="007E7A3E">
        <w:t>.6</w:t>
      </w:r>
      <w:r w:rsidR="00370111">
        <w:t xml:space="preserve"> million profit a year.  What did they get in return?</w:t>
      </w:r>
      <w:r w:rsidR="00BE4F21">
        <w:t xml:space="preserve">  The transfer contract stated:</w:t>
      </w:r>
      <w:r w:rsidR="00C74404">
        <w:rPr>
          <w:rStyle w:val="FootnoteReference"/>
        </w:rPr>
        <w:footnoteReference w:id="8"/>
      </w:r>
    </w:p>
    <w:p w14:paraId="36EDED92" w14:textId="77777777" w:rsidR="00370111" w:rsidRDefault="00370111">
      <w:r>
        <w:rPr>
          <w:noProof/>
        </w:rPr>
        <w:lastRenderedPageBreak/>
        <w:drawing>
          <wp:inline distT="0" distB="0" distL="0" distR="0" wp14:anchorId="714717B5" wp14:editId="708551B3">
            <wp:extent cx="4083769" cy="19431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ayment Made.png"/>
                    <pic:cNvPicPr/>
                  </pic:nvPicPr>
                  <pic:blipFill>
                    <a:blip r:embed="rId10">
                      <a:extLst>
                        <a:ext uri="{28A0092B-C50C-407E-A947-70E740481C1C}">
                          <a14:useLocalDpi xmlns:a14="http://schemas.microsoft.com/office/drawing/2010/main" val="0"/>
                        </a:ext>
                      </a:extLst>
                    </a:blip>
                    <a:stretch>
                      <a:fillRect/>
                    </a:stretch>
                  </pic:blipFill>
                  <pic:spPr>
                    <a:xfrm>
                      <a:off x="0" y="0"/>
                      <a:ext cx="4085071" cy="1943720"/>
                    </a:xfrm>
                    <a:prstGeom prst="rect">
                      <a:avLst/>
                    </a:prstGeom>
                  </pic:spPr>
                </pic:pic>
              </a:graphicData>
            </a:graphic>
          </wp:inline>
        </w:drawing>
      </w:r>
    </w:p>
    <w:p w14:paraId="60BFD5AD" w14:textId="2BDD4518" w:rsidR="00BE4F21" w:rsidRDefault="00DA380C" w:rsidP="00BE4F21">
      <w:r>
        <w:t>PT</w:t>
      </w:r>
      <w:r w:rsidR="00BE4F21">
        <w:t xml:space="preserve">LC’s software supplier received </w:t>
      </w:r>
      <w:r w:rsidR="00A048C8">
        <w:t xml:space="preserve">sole ownership of </w:t>
      </w:r>
      <w:r w:rsidR="00BE4F21">
        <w:t xml:space="preserve">a business generating over $30 million in revenue </w:t>
      </w:r>
      <w:r w:rsidR="006D194D">
        <w:t>annually</w:t>
      </w:r>
      <w:r w:rsidR="00BE4F21">
        <w:t xml:space="preserve"> and over $5 million in profits every year…</w:t>
      </w:r>
      <w:r w:rsidR="008921AC">
        <w:t xml:space="preserve"> for</w:t>
      </w:r>
      <w:r w:rsidR="00BE4F21">
        <w:t xml:space="preserve"> free. The Board of PTLC decided it was in the best interes</w:t>
      </w:r>
      <w:r w:rsidR="00757BF0">
        <w:t>t of the school to give it away to a company solely owned by Damian Creamer.</w:t>
      </w:r>
    </w:p>
    <w:p w14:paraId="6B160D36" w14:textId="77777777" w:rsidR="00EB44EF" w:rsidRDefault="00EB44EF" w:rsidP="00BE4F21"/>
    <w:p w14:paraId="5E924D11" w14:textId="238610E5" w:rsidR="00572E6A" w:rsidRPr="00EB44EF" w:rsidRDefault="00EB44EF" w:rsidP="00BE4F21">
      <w:pPr>
        <w:rPr>
          <w:b/>
        </w:rPr>
      </w:pPr>
      <w:r w:rsidRPr="00EB44EF">
        <w:rPr>
          <w:b/>
        </w:rPr>
        <w:t>Damian Creamer’s relationship with PTLC and AVA</w:t>
      </w:r>
    </w:p>
    <w:p w14:paraId="2DA37665" w14:textId="1CA38A77" w:rsidR="00572E6A" w:rsidRDefault="00757BF0" w:rsidP="00BE4F21">
      <w:r>
        <w:t xml:space="preserve">It turns out the Damian Creamer is also the founder and director of </w:t>
      </w:r>
      <w:r w:rsidR="00EB44EF">
        <w:t xml:space="preserve">the non-profit </w:t>
      </w:r>
      <w:r>
        <w:t>P</w:t>
      </w:r>
      <w:r w:rsidR="00EB44EF">
        <w:t>rimavera Technical Learning Center</w:t>
      </w:r>
      <w:r>
        <w:t xml:space="preserve">.  </w:t>
      </w:r>
      <w:r w:rsidR="00572E6A">
        <w:t xml:space="preserve">Creamer </w:t>
      </w:r>
      <w:r w:rsidR="00AE3ED2">
        <w:t>incorporated</w:t>
      </w:r>
      <w:r w:rsidR="007B1A0B">
        <w:t xml:space="preserve"> PTLC in 2002 and </w:t>
      </w:r>
      <w:r w:rsidR="00563D8C">
        <w:t>is</w:t>
      </w:r>
      <w:r w:rsidR="00572E6A">
        <w:t xml:space="preserve"> </w:t>
      </w:r>
      <w:r>
        <w:t>the paid director</w:t>
      </w:r>
      <w:r w:rsidR="00AE3ED2">
        <w:t xml:space="preserve"> of the non-profit</w:t>
      </w:r>
      <w:r w:rsidR="001B6934">
        <w:t>, collecting over a million dollars in salary since 2005</w:t>
      </w:r>
      <w:r w:rsidR="00563D8C">
        <w:t>.</w:t>
      </w:r>
      <w:r w:rsidR="00563D8C">
        <w:rPr>
          <w:rStyle w:val="FootnoteReference"/>
        </w:rPr>
        <w:footnoteReference w:id="9"/>
      </w:r>
      <w:r>
        <w:t xml:space="preserve">  His wife and sister also drew over $1 million in salary </w:t>
      </w:r>
      <w:r w:rsidR="00E43D22">
        <w:t xml:space="preserve">as officers of the non-profit </w:t>
      </w:r>
      <w:r>
        <w:t>in that time period.</w:t>
      </w:r>
      <w:r w:rsidR="00C24499">
        <w:rPr>
          <w:rStyle w:val="FootnoteReference"/>
        </w:rPr>
        <w:footnoteReference w:id="10"/>
      </w:r>
      <w:r w:rsidR="00563D8C">
        <w:t xml:space="preserve">  See Table 3.</w:t>
      </w:r>
    </w:p>
    <w:p w14:paraId="714B3681" w14:textId="77777777" w:rsidR="00563D8C" w:rsidRDefault="00563D8C" w:rsidP="00BE4F21"/>
    <w:p w14:paraId="0685CE71" w14:textId="77777777" w:rsidR="00563D8C" w:rsidRPr="00C24499" w:rsidRDefault="00563D8C" w:rsidP="00563D8C">
      <w:pPr>
        <w:rPr>
          <w:sz w:val="22"/>
          <w:szCs w:val="22"/>
        </w:rPr>
      </w:pPr>
      <w:r w:rsidRPr="00932B15">
        <w:rPr>
          <w:b/>
          <w:sz w:val="22"/>
          <w:szCs w:val="22"/>
        </w:rPr>
        <w:t>Table 3</w:t>
      </w:r>
      <w:r w:rsidRPr="00C24499">
        <w:rPr>
          <w:sz w:val="22"/>
          <w:szCs w:val="22"/>
        </w:rPr>
        <w:t xml:space="preserve"> Salaries of Creamer family officers of PTLC</w:t>
      </w:r>
    </w:p>
    <w:tbl>
      <w:tblPr>
        <w:tblW w:w="8220" w:type="dxa"/>
        <w:tblInd w:w="93" w:type="dxa"/>
        <w:tblLook w:val="04A0" w:firstRow="1" w:lastRow="0" w:firstColumn="1" w:lastColumn="0" w:noHBand="0" w:noVBand="1"/>
      </w:tblPr>
      <w:tblGrid>
        <w:gridCol w:w="1300"/>
        <w:gridCol w:w="1900"/>
        <w:gridCol w:w="2080"/>
        <w:gridCol w:w="1640"/>
        <w:gridCol w:w="1309"/>
      </w:tblGrid>
      <w:tr w:rsidR="00563D8C" w:rsidRPr="00FA6897" w14:paraId="10951A65" w14:textId="77777777" w:rsidTr="00563D8C">
        <w:trPr>
          <w:trHeight w:val="600"/>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4D8005"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Year</w:t>
            </w:r>
          </w:p>
        </w:tc>
        <w:tc>
          <w:tcPr>
            <w:tcW w:w="1900" w:type="dxa"/>
            <w:tcBorders>
              <w:top w:val="single" w:sz="4" w:space="0" w:color="auto"/>
              <w:left w:val="nil"/>
              <w:bottom w:val="single" w:sz="4" w:space="0" w:color="auto"/>
              <w:right w:val="single" w:sz="4" w:space="0" w:color="auto"/>
            </w:tcBorders>
            <w:shd w:val="clear" w:color="auto" w:fill="auto"/>
            <w:vAlign w:val="bottom"/>
            <w:hideMark/>
          </w:tcPr>
          <w:p w14:paraId="763517C7"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Damian Creamer</w:t>
            </w:r>
          </w:p>
        </w:tc>
        <w:tc>
          <w:tcPr>
            <w:tcW w:w="2080" w:type="dxa"/>
            <w:tcBorders>
              <w:top w:val="single" w:sz="4" w:space="0" w:color="auto"/>
              <w:left w:val="nil"/>
              <w:bottom w:val="single" w:sz="4" w:space="0" w:color="auto"/>
              <w:right w:val="single" w:sz="4" w:space="0" w:color="auto"/>
            </w:tcBorders>
            <w:shd w:val="clear" w:color="auto" w:fill="auto"/>
            <w:vAlign w:val="bottom"/>
            <w:hideMark/>
          </w:tcPr>
          <w:p w14:paraId="6DDE36EF"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Vanessa Creamer (wife)</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00EE6298"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Mori Creamer (sister)</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44906C2" w14:textId="4903B233"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r w:rsidR="00EB44EF">
              <w:rPr>
                <w:rFonts w:ascii="Calibri" w:eastAsia="Times New Roman" w:hAnsi="Calibri" w:cs="Times New Roman"/>
                <w:color w:val="000000"/>
              </w:rPr>
              <w:t>Total</w:t>
            </w:r>
          </w:p>
        </w:tc>
      </w:tr>
      <w:tr w:rsidR="00563D8C" w:rsidRPr="00FA6897" w14:paraId="680C26FE"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322526F"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2005</w:t>
            </w:r>
          </w:p>
        </w:tc>
        <w:tc>
          <w:tcPr>
            <w:tcW w:w="1900" w:type="dxa"/>
            <w:tcBorders>
              <w:top w:val="nil"/>
              <w:left w:val="nil"/>
              <w:bottom w:val="single" w:sz="4" w:space="0" w:color="auto"/>
              <w:right w:val="single" w:sz="4" w:space="0" w:color="auto"/>
            </w:tcBorders>
            <w:shd w:val="clear" w:color="auto" w:fill="auto"/>
            <w:noWrap/>
            <w:vAlign w:val="bottom"/>
            <w:hideMark/>
          </w:tcPr>
          <w:p w14:paraId="16C13994"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$60,312</w:t>
            </w:r>
          </w:p>
        </w:tc>
        <w:tc>
          <w:tcPr>
            <w:tcW w:w="2080" w:type="dxa"/>
            <w:tcBorders>
              <w:top w:val="nil"/>
              <w:left w:val="nil"/>
              <w:bottom w:val="single" w:sz="4" w:space="0" w:color="auto"/>
              <w:right w:val="single" w:sz="4" w:space="0" w:color="auto"/>
            </w:tcBorders>
            <w:shd w:val="clear" w:color="auto" w:fill="auto"/>
            <w:noWrap/>
            <w:vAlign w:val="bottom"/>
            <w:hideMark/>
          </w:tcPr>
          <w:p w14:paraId="0DCAA0A9"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$74,420</w:t>
            </w:r>
          </w:p>
        </w:tc>
        <w:tc>
          <w:tcPr>
            <w:tcW w:w="1640" w:type="dxa"/>
            <w:tcBorders>
              <w:top w:val="nil"/>
              <w:left w:val="nil"/>
              <w:bottom w:val="single" w:sz="4" w:space="0" w:color="auto"/>
              <w:right w:val="single" w:sz="4" w:space="0" w:color="auto"/>
            </w:tcBorders>
            <w:shd w:val="clear" w:color="auto" w:fill="auto"/>
            <w:noWrap/>
            <w:vAlign w:val="bottom"/>
            <w:hideMark/>
          </w:tcPr>
          <w:p w14:paraId="31822838"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4DC85A"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1CC08709"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40D99B"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2006</w:t>
            </w:r>
          </w:p>
        </w:tc>
        <w:tc>
          <w:tcPr>
            <w:tcW w:w="1900" w:type="dxa"/>
            <w:tcBorders>
              <w:top w:val="nil"/>
              <w:left w:val="nil"/>
              <w:bottom w:val="single" w:sz="4" w:space="0" w:color="auto"/>
              <w:right w:val="single" w:sz="4" w:space="0" w:color="auto"/>
            </w:tcBorders>
            <w:shd w:val="clear" w:color="auto" w:fill="auto"/>
            <w:noWrap/>
            <w:vAlign w:val="bottom"/>
            <w:hideMark/>
          </w:tcPr>
          <w:p w14:paraId="13E8E867"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$107,615</w:t>
            </w:r>
          </w:p>
        </w:tc>
        <w:tc>
          <w:tcPr>
            <w:tcW w:w="2080" w:type="dxa"/>
            <w:tcBorders>
              <w:top w:val="nil"/>
              <w:left w:val="nil"/>
              <w:bottom w:val="single" w:sz="4" w:space="0" w:color="auto"/>
              <w:right w:val="single" w:sz="4" w:space="0" w:color="auto"/>
            </w:tcBorders>
            <w:shd w:val="clear" w:color="auto" w:fill="auto"/>
            <w:noWrap/>
            <w:vAlign w:val="bottom"/>
            <w:hideMark/>
          </w:tcPr>
          <w:p w14:paraId="692869C5"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$75,917</w:t>
            </w:r>
          </w:p>
        </w:tc>
        <w:tc>
          <w:tcPr>
            <w:tcW w:w="1640" w:type="dxa"/>
            <w:tcBorders>
              <w:top w:val="nil"/>
              <w:left w:val="nil"/>
              <w:bottom w:val="single" w:sz="4" w:space="0" w:color="auto"/>
              <w:right w:val="single" w:sz="4" w:space="0" w:color="auto"/>
            </w:tcBorders>
            <w:shd w:val="clear" w:color="auto" w:fill="auto"/>
            <w:noWrap/>
            <w:vAlign w:val="bottom"/>
            <w:hideMark/>
          </w:tcPr>
          <w:p w14:paraId="4E6E86CD"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365752"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5D9CDB72"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091820"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2007</w:t>
            </w:r>
          </w:p>
        </w:tc>
        <w:tc>
          <w:tcPr>
            <w:tcW w:w="1900" w:type="dxa"/>
            <w:tcBorders>
              <w:top w:val="nil"/>
              <w:left w:val="nil"/>
              <w:bottom w:val="single" w:sz="4" w:space="0" w:color="auto"/>
              <w:right w:val="single" w:sz="4" w:space="0" w:color="auto"/>
            </w:tcBorders>
            <w:shd w:val="clear" w:color="auto" w:fill="auto"/>
            <w:noWrap/>
            <w:vAlign w:val="bottom"/>
            <w:hideMark/>
          </w:tcPr>
          <w:p w14:paraId="74EF36E9"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$108,779</w:t>
            </w:r>
          </w:p>
        </w:tc>
        <w:tc>
          <w:tcPr>
            <w:tcW w:w="2080" w:type="dxa"/>
            <w:tcBorders>
              <w:top w:val="nil"/>
              <w:left w:val="nil"/>
              <w:bottom w:val="single" w:sz="4" w:space="0" w:color="auto"/>
              <w:right w:val="single" w:sz="4" w:space="0" w:color="auto"/>
            </w:tcBorders>
            <w:shd w:val="clear" w:color="auto" w:fill="auto"/>
            <w:noWrap/>
            <w:vAlign w:val="bottom"/>
            <w:hideMark/>
          </w:tcPr>
          <w:p w14:paraId="181A8271"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$71,792</w:t>
            </w:r>
          </w:p>
        </w:tc>
        <w:tc>
          <w:tcPr>
            <w:tcW w:w="1640" w:type="dxa"/>
            <w:tcBorders>
              <w:top w:val="nil"/>
              <w:left w:val="nil"/>
              <w:bottom w:val="single" w:sz="4" w:space="0" w:color="auto"/>
              <w:right w:val="single" w:sz="4" w:space="0" w:color="auto"/>
            </w:tcBorders>
            <w:shd w:val="clear" w:color="auto" w:fill="auto"/>
            <w:noWrap/>
            <w:vAlign w:val="bottom"/>
            <w:hideMark/>
          </w:tcPr>
          <w:p w14:paraId="4C0AF999"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C164689"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5BACA6E2"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9B90E9"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2008</w:t>
            </w:r>
          </w:p>
        </w:tc>
        <w:tc>
          <w:tcPr>
            <w:tcW w:w="1900" w:type="dxa"/>
            <w:tcBorders>
              <w:top w:val="nil"/>
              <w:left w:val="nil"/>
              <w:bottom w:val="single" w:sz="4" w:space="0" w:color="auto"/>
              <w:right w:val="single" w:sz="4" w:space="0" w:color="auto"/>
            </w:tcBorders>
            <w:shd w:val="clear" w:color="auto" w:fill="auto"/>
            <w:noWrap/>
            <w:vAlign w:val="bottom"/>
            <w:hideMark/>
          </w:tcPr>
          <w:p w14:paraId="1C131516"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$98,000</w:t>
            </w:r>
          </w:p>
        </w:tc>
        <w:tc>
          <w:tcPr>
            <w:tcW w:w="2080" w:type="dxa"/>
            <w:tcBorders>
              <w:top w:val="nil"/>
              <w:left w:val="nil"/>
              <w:bottom w:val="single" w:sz="4" w:space="0" w:color="auto"/>
              <w:right w:val="single" w:sz="4" w:space="0" w:color="auto"/>
            </w:tcBorders>
            <w:shd w:val="clear" w:color="auto" w:fill="auto"/>
            <w:noWrap/>
            <w:vAlign w:val="bottom"/>
            <w:hideMark/>
          </w:tcPr>
          <w:p w14:paraId="231CA9B0"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$94,344</w:t>
            </w:r>
          </w:p>
        </w:tc>
        <w:tc>
          <w:tcPr>
            <w:tcW w:w="1640" w:type="dxa"/>
            <w:tcBorders>
              <w:top w:val="nil"/>
              <w:left w:val="nil"/>
              <w:bottom w:val="single" w:sz="4" w:space="0" w:color="auto"/>
              <w:right w:val="single" w:sz="4" w:space="0" w:color="auto"/>
            </w:tcBorders>
            <w:shd w:val="clear" w:color="auto" w:fill="auto"/>
            <w:noWrap/>
            <w:vAlign w:val="bottom"/>
            <w:hideMark/>
          </w:tcPr>
          <w:p w14:paraId="1DA67D5C"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2403A6"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04260D9F"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8B130F"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2009</w:t>
            </w:r>
          </w:p>
        </w:tc>
        <w:tc>
          <w:tcPr>
            <w:tcW w:w="1900" w:type="dxa"/>
            <w:tcBorders>
              <w:top w:val="nil"/>
              <w:left w:val="nil"/>
              <w:bottom w:val="single" w:sz="4" w:space="0" w:color="auto"/>
              <w:right w:val="single" w:sz="4" w:space="0" w:color="auto"/>
            </w:tcBorders>
            <w:shd w:val="clear" w:color="auto" w:fill="auto"/>
            <w:noWrap/>
            <w:vAlign w:val="bottom"/>
            <w:hideMark/>
          </w:tcPr>
          <w:p w14:paraId="3766C997"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$101,031</w:t>
            </w:r>
          </w:p>
        </w:tc>
        <w:tc>
          <w:tcPr>
            <w:tcW w:w="2080" w:type="dxa"/>
            <w:tcBorders>
              <w:top w:val="nil"/>
              <w:left w:val="nil"/>
              <w:bottom w:val="single" w:sz="4" w:space="0" w:color="auto"/>
              <w:right w:val="single" w:sz="4" w:space="0" w:color="auto"/>
            </w:tcBorders>
            <w:shd w:val="clear" w:color="auto" w:fill="auto"/>
            <w:noWrap/>
            <w:vAlign w:val="bottom"/>
            <w:hideMark/>
          </w:tcPr>
          <w:p w14:paraId="7D5086F6"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$101,766</w:t>
            </w:r>
          </w:p>
        </w:tc>
        <w:tc>
          <w:tcPr>
            <w:tcW w:w="1640" w:type="dxa"/>
            <w:tcBorders>
              <w:top w:val="nil"/>
              <w:left w:val="nil"/>
              <w:bottom w:val="single" w:sz="4" w:space="0" w:color="auto"/>
              <w:right w:val="single" w:sz="4" w:space="0" w:color="auto"/>
            </w:tcBorders>
            <w:shd w:val="clear" w:color="auto" w:fill="auto"/>
            <w:noWrap/>
            <w:vAlign w:val="bottom"/>
            <w:hideMark/>
          </w:tcPr>
          <w:p w14:paraId="155674CB"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CB591A"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5E02EF84"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E531B4"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2010</w:t>
            </w:r>
          </w:p>
        </w:tc>
        <w:tc>
          <w:tcPr>
            <w:tcW w:w="1900" w:type="dxa"/>
            <w:tcBorders>
              <w:top w:val="nil"/>
              <w:left w:val="nil"/>
              <w:bottom w:val="single" w:sz="4" w:space="0" w:color="auto"/>
              <w:right w:val="single" w:sz="4" w:space="0" w:color="auto"/>
            </w:tcBorders>
            <w:shd w:val="clear" w:color="auto" w:fill="auto"/>
            <w:noWrap/>
            <w:vAlign w:val="bottom"/>
            <w:hideMark/>
          </w:tcPr>
          <w:p w14:paraId="6DB08EEB"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$98,020</w:t>
            </w:r>
          </w:p>
        </w:tc>
        <w:tc>
          <w:tcPr>
            <w:tcW w:w="2080" w:type="dxa"/>
            <w:tcBorders>
              <w:top w:val="nil"/>
              <w:left w:val="nil"/>
              <w:bottom w:val="single" w:sz="4" w:space="0" w:color="auto"/>
              <w:right w:val="single" w:sz="4" w:space="0" w:color="auto"/>
            </w:tcBorders>
            <w:shd w:val="clear" w:color="auto" w:fill="auto"/>
            <w:noWrap/>
            <w:vAlign w:val="bottom"/>
            <w:hideMark/>
          </w:tcPr>
          <w:p w14:paraId="2967C6FB"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$98,020</w:t>
            </w:r>
          </w:p>
        </w:tc>
        <w:tc>
          <w:tcPr>
            <w:tcW w:w="1640" w:type="dxa"/>
            <w:tcBorders>
              <w:top w:val="nil"/>
              <w:left w:val="nil"/>
              <w:bottom w:val="single" w:sz="4" w:space="0" w:color="auto"/>
              <w:right w:val="single" w:sz="4" w:space="0" w:color="auto"/>
            </w:tcBorders>
            <w:shd w:val="clear" w:color="auto" w:fill="auto"/>
            <w:noWrap/>
            <w:vAlign w:val="bottom"/>
            <w:hideMark/>
          </w:tcPr>
          <w:p w14:paraId="0D495D89"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95F5C9"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0B3F794A"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AB9071"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2011</w:t>
            </w:r>
          </w:p>
        </w:tc>
        <w:tc>
          <w:tcPr>
            <w:tcW w:w="1900" w:type="dxa"/>
            <w:tcBorders>
              <w:top w:val="nil"/>
              <w:left w:val="nil"/>
              <w:bottom w:val="single" w:sz="4" w:space="0" w:color="auto"/>
              <w:right w:val="single" w:sz="4" w:space="0" w:color="auto"/>
            </w:tcBorders>
            <w:shd w:val="clear" w:color="auto" w:fill="auto"/>
            <w:noWrap/>
            <w:vAlign w:val="bottom"/>
            <w:hideMark/>
          </w:tcPr>
          <w:p w14:paraId="1DD111B3"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$101,670</w:t>
            </w:r>
          </w:p>
        </w:tc>
        <w:tc>
          <w:tcPr>
            <w:tcW w:w="2080" w:type="dxa"/>
            <w:tcBorders>
              <w:top w:val="nil"/>
              <w:left w:val="nil"/>
              <w:bottom w:val="single" w:sz="4" w:space="0" w:color="auto"/>
              <w:right w:val="single" w:sz="4" w:space="0" w:color="auto"/>
            </w:tcBorders>
            <w:shd w:val="clear" w:color="auto" w:fill="auto"/>
            <w:noWrap/>
            <w:vAlign w:val="bottom"/>
            <w:hideMark/>
          </w:tcPr>
          <w:p w14:paraId="78A0C0EA"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$101,670</w:t>
            </w:r>
          </w:p>
        </w:tc>
        <w:tc>
          <w:tcPr>
            <w:tcW w:w="1640" w:type="dxa"/>
            <w:tcBorders>
              <w:top w:val="nil"/>
              <w:left w:val="nil"/>
              <w:bottom w:val="single" w:sz="4" w:space="0" w:color="auto"/>
              <w:right w:val="single" w:sz="4" w:space="0" w:color="auto"/>
            </w:tcBorders>
            <w:shd w:val="clear" w:color="auto" w:fill="auto"/>
            <w:noWrap/>
            <w:vAlign w:val="bottom"/>
            <w:hideMark/>
          </w:tcPr>
          <w:p w14:paraId="4A15B663"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02C4AA"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5B7BA293"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1CC2F5"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2012</w:t>
            </w:r>
          </w:p>
        </w:tc>
        <w:tc>
          <w:tcPr>
            <w:tcW w:w="1900" w:type="dxa"/>
            <w:tcBorders>
              <w:top w:val="nil"/>
              <w:left w:val="nil"/>
              <w:bottom w:val="single" w:sz="4" w:space="0" w:color="auto"/>
              <w:right w:val="single" w:sz="4" w:space="0" w:color="auto"/>
            </w:tcBorders>
            <w:shd w:val="clear" w:color="auto" w:fill="auto"/>
            <w:noWrap/>
            <w:vAlign w:val="bottom"/>
            <w:hideMark/>
          </w:tcPr>
          <w:p w14:paraId="736FF7E2"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$101,253</w:t>
            </w:r>
          </w:p>
        </w:tc>
        <w:tc>
          <w:tcPr>
            <w:tcW w:w="2080" w:type="dxa"/>
            <w:tcBorders>
              <w:top w:val="nil"/>
              <w:left w:val="nil"/>
              <w:bottom w:val="single" w:sz="4" w:space="0" w:color="auto"/>
              <w:right w:val="single" w:sz="4" w:space="0" w:color="auto"/>
            </w:tcBorders>
            <w:shd w:val="clear" w:color="auto" w:fill="auto"/>
            <w:noWrap/>
            <w:vAlign w:val="bottom"/>
            <w:hideMark/>
          </w:tcPr>
          <w:p w14:paraId="298592DD"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$99,309</w:t>
            </w:r>
          </w:p>
        </w:tc>
        <w:tc>
          <w:tcPr>
            <w:tcW w:w="1640" w:type="dxa"/>
            <w:tcBorders>
              <w:top w:val="nil"/>
              <w:left w:val="nil"/>
              <w:bottom w:val="single" w:sz="4" w:space="0" w:color="auto"/>
              <w:right w:val="single" w:sz="4" w:space="0" w:color="auto"/>
            </w:tcBorders>
            <w:shd w:val="clear" w:color="auto" w:fill="auto"/>
            <w:noWrap/>
            <w:vAlign w:val="bottom"/>
            <w:hideMark/>
          </w:tcPr>
          <w:p w14:paraId="045FE235"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D75CE63"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0B26F796"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18CFEC"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2013</w:t>
            </w:r>
          </w:p>
        </w:tc>
        <w:tc>
          <w:tcPr>
            <w:tcW w:w="1900" w:type="dxa"/>
            <w:tcBorders>
              <w:top w:val="nil"/>
              <w:left w:val="nil"/>
              <w:bottom w:val="single" w:sz="4" w:space="0" w:color="auto"/>
              <w:right w:val="single" w:sz="4" w:space="0" w:color="auto"/>
            </w:tcBorders>
            <w:shd w:val="clear" w:color="auto" w:fill="auto"/>
            <w:noWrap/>
            <w:vAlign w:val="bottom"/>
            <w:hideMark/>
          </w:tcPr>
          <w:p w14:paraId="1FED6781"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$100,202</w:t>
            </w:r>
          </w:p>
        </w:tc>
        <w:tc>
          <w:tcPr>
            <w:tcW w:w="2080" w:type="dxa"/>
            <w:tcBorders>
              <w:top w:val="nil"/>
              <w:left w:val="nil"/>
              <w:bottom w:val="single" w:sz="4" w:space="0" w:color="auto"/>
              <w:right w:val="single" w:sz="4" w:space="0" w:color="auto"/>
            </w:tcBorders>
            <w:shd w:val="clear" w:color="auto" w:fill="auto"/>
            <w:noWrap/>
            <w:vAlign w:val="bottom"/>
            <w:hideMark/>
          </w:tcPr>
          <w:p w14:paraId="71A88060"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$102,092</w:t>
            </w:r>
          </w:p>
        </w:tc>
        <w:tc>
          <w:tcPr>
            <w:tcW w:w="1640" w:type="dxa"/>
            <w:tcBorders>
              <w:top w:val="nil"/>
              <w:left w:val="nil"/>
              <w:bottom w:val="single" w:sz="4" w:space="0" w:color="auto"/>
              <w:right w:val="single" w:sz="4" w:space="0" w:color="auto"/>
            </w:tcBorders>
            <w:shd w:val="clear" w:color="auto" w:fill="auto"/>
            <w:noWrap/>
            <w:vAlign w:val="bottom"/>
            <w:hideMark/>
          </w:tcPr>
          <w:p w14:paraId="6851CBC6"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5035029"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5482B2C4"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0F4DBEE"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2014</w:t>
            </w:r>
          </w:p>
        </w:tc>
        <w:tc>
          <w:tcPr>
            <w:tcW w:w="1900" w:type="dxa"/>
            <w:tcBorders>
              <w:top w:val="nil"/>
              <w:left w:val="nil"/>
              <w:bottom w:val="single" w:sz="4" w:space="0" w:color="auto"/>
              <w:right w:val="single" w:sz="4" w:space="0" w:color="auto"/>
            </w:tcBorders>
            <w:shd w:val="clear" w:color="auto" w:fill="auto"/>
            <w:noWrap/>
            <w:vAlign w:val="bottom"/>
            <w:hideMark/>
          </w:tcPr>
          <w:p w14:paraId="7CA61A44"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$90,025</w:t>
            </w:r>
          </w:p>
        </w:tc>
        <w:tc>
          <w:tcPr>
            <w:tcW w:w="2080" w:type="dxa"/>
            <w:tcBorders>
              <w:top w:val="nil"/>
              <w:left w:val="nil"/>
              <w:bottom w:val="single" w:sz="4" w:space="0" w:color="auto"/>
              <w:right w:val="single" w:sz="4" w:space="0" w:color="auto"/>
            </w:tcBorders>
            <w:shd w:val="clear" w:color="auto" w:fill="auto"/>
            <w:noWrap/>
            <w:vAlign w:val="bottom"/>
            <w:hideMark/>
          </w:tcPr>
          <w:p w14:paraId="0B4A969F"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4781053D"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$111,037</w:t>
            </w:r>
          </w:p>
        </w:tc>
        <w:tc>
          <w:tcPr>
            <w:tcW w:w="1300" w:type="dxa"/>
            <w:tcBorders>
              <w:top w:val="nil"/>
              <w:left w:val="nil"/>
              <w:bottom w:val="single" w:sz="4" w:space="0" w:color="auto"/>
              <w:right w:val="single" w:sz="4" w:space="0" w:color="auto"/>
            </w:tcBorders>
            <w:shd w:val="clear" w:color="auto" w:fill="auto"/>
            <w:noWrap/>
            <w:vAlign w:val="bottom"/>
            <w:hideMark/>
          </w:tcPr>
          <w:p w14:paraId="3BB2C6D5"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77CF87C9"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10FDCB"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2015</w:t>
            </w:r>
          </w:p>
        </w:tc>
        <w:tc>
          <w:tcPr>
            <w:tcW w:w="1900" w:type="dxa"/>
            <w:tcBorders>
              <w:top w:val="nil"/>
              <w:left w:val="nil"/>
              <w:bottom w:val="single" w:sz="4" w:space="0" w:color="auto"/>
              <w:right w:val="single" w:sz="4" w:space="0" w:color="auto"/>
            </w:tcBorders>
            <w:shd w:val="clear" w:color="auto" w:fill="auto"/>
            <w:noWrap/>
            <w:vAlign w:val="bottom"/>
            <w:hideMark/>
          </w:tcPr>
          <w:p w14:paraId="67E5207F"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$105,972</w:t>
            </w:r>
          </w:p>
        </w:tc>
        <w:tc>
          <w:tcPr>
            <w:tcW w:w="2080" w:type="dxa"/>
            <w:tcBorders>
              <w:top w:val="nil"/>
              <w:left w:val="nil"/>
              <w:bottom w:val="single" w:sz="4" w:space="0" w:color="auto"/>
              <w:right w:val="single" w:sz="4" w:space="0" w:color="auto"/>
            </w:tcBorders>
            <w:shd w:val="clear" w:color="auto" w:fill="auto"/>
            <w:noWrap/>
            <w:vAlign w:val="bottom"/>
            <w:hideMark/>
          </w:tcPr>
          <w:p w14:paraId="5C1C9A7A"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505F1B34"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$197,433</w:t>
            </w:r>
          </w:p>
        </w:tc>
        <w:tc>
          <w:tcPr>
            <w:tcW w:w="1300" w:type="dxa"/>
            <w:tcBorders>
              <w:top w:val="nil"/>
              <w:left w:val="nil"/>
              <w:bottom w:val="single" w:sz="4" w:space="0" w:color="auto"/>
              <w:right w:val="single" w:sz="4" w:space="0" w:color="auto"/>
            </w:tcBorders>
            <w:shd w:val="clear" w:color="auto" w:fill="auto"/>
            <w:noWrap/>
            <w:vAlign w:val="bottom"/>
            <w:hideMark/>
          </w:tcPr>
          <w:p w14:paraId="6BA36E68"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 </w:t>
            </w:r>
          </w:p>
        </w:tc>
      </w:tr>
      <w:tr w:rsidR="00563D8C" w:rsidRPr="00FA6897" w14:paraId="7089D5AE" w14:textId="77777777" w:rsidTr="00563D8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991B89" w14:textId="77777777" w:rsidR="00563D8C" w:rsidRPr="00FA6897" w:rsidRDefault="00563D8C" w:rsidP="00563D8C">
            <w:pPr>
              <w:rPr>
                <w:rFonts w:ascii="Calibri" w:eastAsia="Times New Roman" w:hAnsi="Calibri" w:cs="Times New Roman"/>
                <w:color w:val="000000"/>
              </w:rPr>
            </w:pPr>
            <w:r w:rsidRPr="00FA6897">
              <w:rPr>
                <w:rFonts w:ascii="Calibri" w:eastAsia="Times New Roman" w:hAnsi="Calibri" w:cs="Times New Roman"/>
                <w:color w:val="000000"/>
              </w:rPr>
              <w:t>Total</w:t>
            </w:r>
          </w:p>
        </w:tc>
        <w:tc>
          <w:tcPr>
            <w:tcW w:w="1900" w:type="dxa"/>
            <w:tcBorders>
              <w:top w:val="nil"/>
              <w:left w:val="nil"/>
              <w:bottom w:val="single" w:sz="4" w:space="0" w:color="auto"/>
              <w:right w:val="single" w:sz="4" w:space="0" w:color="auto"/>
            </w:tcBorders>
            <w:shd w:val="clear" w:color="auto" w:fill="auto"/>
            <w:noWrap/>
            <w:vAlign w:val="bottom"/>
            <w:hideMark/>
          </w:tcPr>
          <w:p w14:paraId="5FC237CD"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$1,072,879</w:t>
            </w:r>
          </w:p>
        </w:tc>
        <w:tc>
          <w:tcPr>
            <w:tcW w:w="2080" w:type="dxa"/>
            <w:tcBorders>
              <w:top w:val="nil"/>
              <w:left w:val="nil"/>
              <w:bottom w:val="single" w:sz="4" w:space="0" w:color="auto"/>
              <w:right w:val="single" w:sz="4" w:space="0" w:color="auto"/>
            </w:tcBorders>
            <w:shd w:val="clear" w:color="auto" w:fill="auto"/>
            <w:noWrap/>
            <w:vAlign w:val="bottom"/>
            <w:hideMark/>
          </w:tcPr>
          <w:p w14:paraId="38E39601"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$819,330</w:t>
            </w:r>
          </w:p>
        </w:tc>
        <w:tc>
          <w:tcPr>
            <w:tcW w:w="1640" w:type="dxa"/>
            <w:tcBorders>
              <w:top w:val="nil"/>
              <w:left w:val="nil"/>
              <w:bottom w:val="single" w:sz="4" w:space="0" w:color="auto"/>
              <w:right w:val="single" w:sz="4" w:space="0" w:color="auto"/>
            </w:tcBorders>
            <w:shd w:val="clear" w:color="auto" w:fill="auto"/>
            <w:noWrap/>
            <w:vAlign w:val="bottom"/>
            <w:hideMark/>
          </w:tcPr>
          <w:p w14:paraId="0DFE78BC"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$308,470</w:t>
            </w:r>
          </w:p>
        </w:tc>
        <w:tc>
          <w:tcPr>
            <w:tcW w:w="1300" w:type="dxa"/>
            <w:tcBorders>
              <w:top w:val="nil"/>
              <w:left w:val="nil"/>
              <w:bottom w:val="single" w:sz="4" w:space="0" w:color="auto"/>
              <w:right w:val="single" w:sz="4" w:space="0" w:color="auto"/>
            </w:tcBorders>
            <w:shd w:val="clear" w:color="auto" w:fill="auto"/>
            <w:noWrap/>
            <w:vAlign w:val="bottom"/>
            <w:hideMark/>
          </w:tcPr>
          <w:p w14:paraId="766A8C00" w14:textId="77777777" w:rsidR="00563D8C" w:rsidRPr="00FA6897" w:rsidRDefault="00563D8C" w:rsidP="00563D8C">
            <w:pPr>
              <w:jc w:val="right"/>
              <w:rPr>
                <w:rFonts w:ascii="Calibri" w:eastAsia="Times New Roman" w:hAnsi="Calibri" w:cs="Times New Roman"/>
                <w:color w:val="000000"/>
              </w:rPr>
            </w:pPr>
            <w:r w:rsidRPr="00FA6897">
              <w:rPr>
                <w:rFonts w:ascii="Calibri" w:eastAsia="Times New Roman" w:hAnsi="Calibri" w:cs="Times New Roman"/>
                <w:color w:val="000000"/>
              </w:rPr>
              <w:t>$2,200,679</w:t>
            </w:r>
          </w:p>
        </w:tc>
      </w:tr>
    </w:tbl>
    <w:p w14:paraId="150EABDD" w14:textId="77777777" w:rsidR="00BE4F21" w:rsidRDefault="00BE4F21" w:rsidP="00BE4F21"/>
    <w:p w14:paraId="16D78E38" w14:textId="0E7EB572" w:rsidR="003C715A" w:rsidRDefault="007B1A0B" w:rsidP="00BE4F21">
      <w:r>
        <w:t xml:space="preserve">Damian Creamer’s </w:t>
      </w:r>
      <w:r w:rsidR="00757BF0">
        <w:t>non-profit corporation, PTLC, gave his for-profit software company</w:t>
      </w:r>
      <w:r w:rsidR="00AE3ED2">
        <w:t>,</w:t>
      </w:r>
      <w:r w:rsidR="00757BF0">
        <w:t xml:space="preserve"> American Virtual Academy</w:t>
      </w:r>
      <w:r w:rsidR="00AE3ED2">
        <w:t xml:space="preserve">, </w:t>
      </w:r>
      <w:r w:rsidR="00757BF0">
        <w:t xml:space="preserve">the charter to </w:t>
      </w:r>
      <w:r>
        <w:t xml:space="preserve">Primavera Online </w:t>
      </w:r>
      <w:r w:rsidR="00757BF0">
        <w:t xml:space="preserve">– for free. The incestuous relationship between Creamer’s </w:t>
      </w:r>
      <w:r w:rsidR="00586C48">
        <w:t>non-profit and for-profit companies</w:t>
      </w:r>
      <w:r w:rsidR="00757BF0">
        <w:t xml:space="preserve"> is </w:t>
      </w:r>
      <w:r w:rsidR="00757BF0">
        <w:lastRenderedPageBreak/>
        <w:t xml:space="preserve">just the </w:t>
      </w:r>
      <w:r w:rsidR="00BE4F21">
        <w:t xml:space="preserve">tip of the iceberg when it come to the self-dealing between </w:t>
      </w:r>
      <w:r w:rsidR="00586C48">
        <w:t xml:space="preserve">firms </w:t>
      </w:r>
      <w:r w:rsidR="00BE4F21">
        <w:t xml:space="preserve">owned by Creamer. </w:t>
      </w:r>
    </w:p>
    <w:p w14:paraId="2DD8267F" w14:textId="77777777" w:rsidR="00EB44EF" w:rsidRDefault="00EB44EF" w:rsidP="00BE4F21"/>
    <w:p w14:paraId="7543FCFD" w14:textId="75F5A05D" w:rsidR="00C74404" w:rsidRPr="00EB44EF" w:rsidRDefault="00EB44EF" w:rsidP="00BE4F21">
      <w:pPr>
        <w:rPr>
          <w:b/>
        </w:rPr>
      </w:pPr>
      <w:r w:rsidRPr="00EB44EF">
        <w:rPr>
          <w:b/>
        </w:rPr>
        <w:t>Software Licensing and Support Fees</w:t>
      </w:r>
    </w:p>
    <w:p w14:paraId="54CE8D89" w14:textId="1FBD16FE" w:rsidR="00B252F6" w:rsidRDefault="00BE4F21" w:rsidP="00B252F6">
      <w:pPr>
        <w:rPr>
          <w:rFonts w:ascii="Calibri" w:eastAsia="Times New Roman" w:hAnsi="Calibri" w:cs="Times New Roman"/>
          <w:color w:val="000000"/>
        </w:rPr>
      </w:pPr>
      <w:r>
        <w:t>In seven years</w:t>
      </w:r>
      <w:r w:rsidR="007B1A0B">
        <w:t xml:space="preserve"> between</w:t>
      </w:r>
      <w:r>
        <w:t xml:space="preserve"> 2009 </w:t>
      </w:r>
      <w:r w:rsidR="007B1A0B">
        <w:t>and</w:t>
      </w:r>
      <w:r>
        <w:t xml:space="preserve"> 2015, </w:t>
      </w:r>
      <w:r w:rsidR="00EB44EF">
        <w:t xml:space="preserve"> Creamer’s non-profit PTLC </w:t>
      </w:r>
      <w:r>
        <w:t xml:space="preserve">diverted </w:t>
      </w:r>
      <w:r w:rsidRPr="00BE4F21">
        <w:rPr>
          <w:rFonts w:ascii="Calibri" w:eastAsia="Times New Roman" w:hAnsi="Calibri" w:cs="Times New Roman"/>
          <w:color w:val="000000"/>
        </w:rPr>
        <w:t>$</w:t>
      </w:r>
      <w:r w:rsidR="008921AC" w:rsidRPr="00BE4F21">
        <w:rPr>
          <w:rFonts w:ascii="Calibri" w:eastAsia="Times New Roman" w:hAnsi="Calibri" w:cs="Times New Roman"/>
          <w:color w:val="000000"/>
        </w:rPr>
        <w:t>84,896,309</w:t>
      </w:r>
      <w:r w:rsidR="008921AC">
        <w:rPr>
          <w:rFonts w:ascii="Calibri" w:eastAsia="Times New Roman" w:hAnsi="Calibri" w:cs="Times New Roman"/>
          <w:color w:val="000000"/>
        </w:rPr>
        <w:t xml:space="preserve"> </w:t>
      </w:r>
      <w:r w:rsidR="008434AD">
        <w:rPr>
          <w:rFonts w:ascii="Calibri" w:eastAsia="Times New Roman" w:hAnsi="Calibri" w:cs="Times New Roman"/>
          <w:color w:val="000000"/>
        </w:rPr>
        <w:t xml:space="preserve">to AVA </w:t>
      </w:r>
      <w:r>
        <w:rPr>
          <w:rFonts w:ascii="Calibri" w:eastAsia="Times New Roman" w:hAnsi="Calibri" w:cs="Times New Roman"/>
          <w:color w:val="000000"/>
        </w:rPr>
        <w:t xml:space="preserve">to pay for </w:t>
      </w:r>
      <w:r w:rsidR="00BD5A76">
        <w:rPr>
          <w:rFonts w:ascii="Calibri" w:eastAsia="Times New Roman" w:hAnsi="Calibri" w:cs="Times New Roman"/>
          <w:color w:val="000000"/>
        </w:rPr>
        <w:t>“</w:t>
      </w:r>
      <w:r>
        <w:rPr>
          <w:rFonts w:ascii="Calibri" w:eastAsia="Times New Roman" w:hAnsi="Calibri" w:cs="Times New Roman"/>
          <w:color w:val="000000"/>
        </w:rPr>
        <w:t>software licensing and support</w:t>
      </w:r>
      <w:r w:rsidR="00BD5A76">
        <w:rPr>
          <w:rFonts w:ascii="Calibri" w:eastAsia="Times New Roman" w:hAnsi="Calibri" w:cs="Times New Roman"/>
          <w:color w:val="000000"/>
        </w:rPr>
        <w:t>”</w:t>
      </w:r>
      <w:r w:rsidR="008434AD">
        <w:rPr>
          <w:rFonts w:ascii="Calibri" w:eastAsia="Times New Roman" w:hAnsi="Calibri" w:cs="Times New Roman"/>
          <w:color w:val="000000"/>
        </w:rPr>
        <w:t xml:space="preserve">. </w:t>
      </w:r>
      <w:r w:rsidR="007B1A0B">
        <w:rPr>
          <w:rFonts w:ascii="Calibri" w:eastAsia="Times New Roman" w:hAnsi="Calibri" w:cs="Times New Roman"/>
          <w:color w:val="000000"/>
        </w:rPr>
        <w:t xml:space="preserve"> </w:t>
      </w:r>
      <w:r w:rsidR="00AE3ED2">
        <w:rPr>
          <w:rFonts w:ascii="Calibri" w:eastAsia="Times New Roman" w:hAnsi="Calibri" w:cs="Times New Roman"/>
          <w:color w:val="000000"/>
        </w:rPr>
        <w:t xml:space="preserve">This money was strictly for software used by the school. </w:t>
      </w:r>
      <w:r w:rsidR="008921AC">
        <w:rPr>
          <w:rFonts w:ascii="Calibri" w:eastAsia="Times New Roman" w:hAnsi="Calibri" w:cs="Times New Roman"/>
          <w:color w:val="000000"/>
        </w:rPr>
        <w:t>Primavera</w:t>
      </w:r>
      <w:r w:rsidR="00E7038C">
        <w:rPr>
          <w:rFonts w:ascii="Calibri" w:eastAsia="Times New Roman" w:hAnsi="Calibri" w:cs="Times New Roman"/>
          <w:color w:val="000000"/>
        </w:rPr>
        <w:t xml:space="preserve"> does not supply computers to students. </w:t>
      </w:r>
      <w:r w:rsidR="00BD5A76">
        <w:rPr>
          <w:rFonts w:ascii="Calibri" w:eastAsia="Times New Roman" w:hAnsi="Calibri" w:cs="Times New Roman"/>
          <w:color w:val="000000"/>
        </w:rPr>
        <w:t>PTLC spent $2.6 million on supplies and $4.0 million on equipment in addition to the $84.9 million paid to AVA for licensing and support</w:t>
      </w:r>
      <w:r w:rsidR="00EB44EF">
        <w:rPr>
          <w:rFonts w:ascii="Calibri" w:eastAsia="Times New Roman" w:hAnsi="Calibri" w:cs="Times New Roman"/>
          <w:color w:val="000000"/>
        </w:rPr>
        <w:t xml:space="preserve"> 2009-15.</w:t>
      </w:r>
      <w:r w:rsidR="00D157E9">
        <w:rPr>
          <w:rFonts w:ascii="Calibri" w:eastAsia="Times New Roman" w:hAnsi="Calibri" w:cs="Times New Roman"/>
          <w:color w:val="000000"/>
        </w:rPr>
        <w:t xml:space="preserve"> </w:t>
      </w:r>
      <w:r w:rsidR="00BD5A76">
        <w:rPr>
          <w:rFonts w:ascii="Calibri" w:eastAsia="Times New Roman" w:hAnsi="Calibri" w:cs="Times New Roman"/>
          <w:color w:val="000000"/>
        </w:rPr>
        <w:t xml:space="preserve"> PTLC </w:t>
      </w:r>
      <w:r w:rsidR="00DF2BEA">
        <w:rPr>
          <w:rFonts w:ascii="Calibri" w:eastAsia="Times New Roman" w:hAnsi="Calibri" w:cs="Times New Roman"/>
          <w:color w:val="000000"/>
        </w:rPr>
        <w:t xml:space="preserve">had to buy additional math </w:t>
      </w:r>
      <w:r w:rsidR="00BD5A76">
        <w:rPr>
          <w:rFonts w:ascii="Calibri" w:eastAsia="Times New Roman" w:hAnsi="Calibri" w:cs="Times New Roman"/>
          <w:color w:val="000000"/>
        </w:rPr>
        <w:t>software as well</w:t>
      </w:r>
      <w:r w:rsidR="008921AC">
        <w:rPr>
          <w:rFonts w:ascii="Calibri" w:eastAsia="Times New Roman" w:hAnsi="Calibri" w:cs="Times New Roman"/>
          <w:color w:val="000000"/>
        </w:rPr>
        <w:t>, paying</w:t>
      </w:r>
      <w:r w:rsidR="00BD5A76">
        <w:rPr>
          <w:rFonts w:ascii="Calibri" w:eastAsia="Times New Roman" w:hAnsi="Calibri" w:cs="Times New Roman"/>
          <w:color w:val="000000"/>
        </w:rPr>
        <w:t xml:space="preserve"> $265,250 for </w:t>
      </w:r>
      <w:r w:rsidR="00D157E9">
        <w:rPr>
          <w:rFonts w:ascii="Calibri" w:eastAsia="Times New Roman" w:hAnsi="Calibri" w:cs="Times New Roman"/>
          <w:color w:val="000000"/>
        </w:rPr>
        <w:t xml:space="preserve">a program </w:t>
      </w:r>
      <w:r w:rsidR="00BD5A76">
        <w:rPr>
          <w:rFonts w:ascii="Calibri" w:eastAsia="Times New Roman" w:hAnsi="Calibri" w:cs="Times New Roman"/>
          <w:color w:val="000000"/>
        </w:rPr>
        <w:t xml:space="preserve">from Aleks Ed Sys K-12 in 2014 – in addition to the $12.2 million </w:t>
      </w:r>
      <w:r w:rsidR="00C24499">
        <w:rPr>
          <w:rFonts w:ascii="Calibri" w:eastAsia="Times New Roman" w:hAnsi="Calibri" w:cs="Times New Roman"/>
          <w:color w:val="000000"/>
        </w:rPr>
        <w:t xml:space="preserve">they paid AVA in licensing fees that year. </w:t>
      </w:r>
      <w:r w:rsidR="00C74404">
        <w:rPr>
          <w:rFonts w:ascii="Calibri" w:eastAsia="Times New Roman" w:hAnsi="Calibri" w:cs="Times New Roman"/>
          <w:color w:val="000000"/>
        </w:rPr>
        <w:t xml:space="preserve"> Fees to AVA were not used to buy</w:t>
      </w:r>
      <w:r w:rsidR="00B252F6">
        <w:rPr>
          <w:rFonts w:ascii="Calibri" w:eastAsia="Times New Roman" w:hAnsi="Calibri" w:cs="Times New Roman"/>
          <w:color w:val="000000"/>
        </w:rPr>
        <w:t xml:space="preserve"> computers, servers, or other equipment or supplies.  The $84 million was only used to develop and improve the courseware used by Primavera Online.</w:t>
      </w:r>
      <w:r w:rsidR="00B252F6">
        <w:rPr>
          <w:rStyle w:val="FootnoteReference"/>
          <w:rFonts w:ascii="Calibri" w:eastAsia="Times New Roman" w:hAnsi="Calibri" w:cs="Times New Roman"/>
          <w:color w:val="000000"/>
        </w:rPr>
        <w:footnoteReference w:id="11"/>
      </w:r>
      <w:r w:rsidR="00B252F6">
        <w:rPr>
          <w:rFonts w:ascii="Calibri" w:eastAsia="Times New Roman" w:hAnsi="Calibri" w:cs="Times New Roman"/>
          <w:color w:val="000000"/>
        </w:rPr>
        <w:t xml:space="preserve">  See Table 4.</w:t>
      </w:r>
    </w:p>
    <w:p w14:paraId="14ABA2A4" w14:textId="77777777" w:rsidR="007B1A0B" w:rsidRDefault="007B1A0B" w:rsidP="00BE4F21">
      <w:pPr>
        <w:rPr>
          <w:rFonts w:ascii="Calibri" w:eastAsia="Times New Roman" w:hAnsi="Calibri" w:cs="Times New Roman"/>
          <w:color w:val="000000"/>
        </w:rPr>
      </w:pPr>
    </w:p>
    <w:p w14:paraId="3C109E10" w14:textId="2D79F2C4" w:rsidR="008434AD" w:rsidRPr="00C24499" w:rsidRDefault="00C24499" w:rsidP="00BE4F21">
      <w:pPr>
        <w:rPr>
          <w:rFonts w:ascii="Calibri" w:eastAsia="Times New Roman" w:hAnsi="Calibri" w:cs="Times New Roman"/>
          <w:color w:val="000000"/>
          <w:sz w:val="22"/>
          <w:szCs w:val="22"/>
        </w:rPr>
      </w:pPr>
      <w:r w:rsidRPr="00932B15">
        <w:rPr>
          <w:rFonts w:ascii="Calibri" w:eastAsia="Times New Roman" w:hAnsi="Calibri" w:cs="Times New Roman"/>
          <w:b/>
          <w:color w:val="000000"/>
          <w:sz w:val="22"/>
          <w:szCs w:val="22"/>
        </w:rPr>
        <w:t>Table 4</w:t>
      </w:r>
      <w:r w:rsidRPr="00C24499">
        <w:rPr>
          <w:rFonts w:ascii="Calibri" w:eastAsia="Times New Roman" w:hAnsi="Calibri" w:cs="Times New Roman"/>
          <w:color w:val="000000"/>
          <w:sz w:val="22"/>
          <w:szCs w:val="22"/>
        </w:rPr>
        <w:t xml:space="preserve"> Revenue, Net gains, Fees to AVA, and expenditures for supplies, equipment and real estate 2009-2015</w:t>
      </w:r>
    </w:p>
    <w:tbl>
      <w:tblPr>
        <w:tblW w:w="10000" w:type="dxa"/>
        <w:tblInd w:w="93" w:type="dxa"/>
        <w:tblLook w:val="04A0" w:firstRow="1" w:lastRow="0" w:firstColumn="1" w:lastColumn="0" w:noHBand="0" w:noVBand="1"/>
      </w:tblPr>
      <w:tblGrid>
        <w:gridCol w:w="700"/>
        <w:gridCol w:w="1460"/>
        <w:gridCol w:w="1333"/>
        <w:gridCol w:w="1400"/>
        <w:gridCol w:w="1222"/>
        <w:gridCol w:w="1440"/>
        <w:gridCol w:w="1260"/>
        <w:gridCol w:w="1222"/>
      </w:tblGrid>
      <w:tr w:rsidR="00E7038C" w:rsidRPr="00E7038C" w14:paraId="15712060" w14:textId="77777777" w:rsidTr="00E7038C">
        <w:trPr>
          <w:trHeight w:val="560"/>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91C8F3"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 </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77D6E5AB"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Total Revenue</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0A35D7B2"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Net gain</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4EA083D5"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Fee to AVA</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7EEE56BF"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Total Supplies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1882CB76"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Property and equipment</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6CC41AE6"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Real Estate Purchases</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14:paraId="3A48C9C3"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Equipment Purchases</w:t>
            </w:r>
          </w:p>
        </w:tc>
      </w:tr>
      <w:tr w:rsidR="00E7038C" w:rsidRPr="00E7038C" w14:paraId="10F8DBCA" w14:textId="77777777" w:rsidTr="00E7038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FF3B0E2"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2009</w:t>
            </w:r>
          </w:p>
        </w:tc>
        <w:tc>
          <w:tcPr>
            <w:tcW w:w="1460" w:type="dxa"/>
            <w:tcBorders>
              <w:top w:val="nil"/>
              <w:left w:val="nil"/>
              <w:bottom w:val="single" w:sz="4" w:space="0" w:color="auto"/>
              <w:right w:val="single" w:sz="4" w:space="0" w:color="auto"/>
            </w:tcBorders>
            <w:shd w:val="clear" w:color="auto" w:fill="auto"/>
            <w:noWrap/>
            <w:vAlign w:val="bottom"/>
            <w:hideMark/>
          </w:tcPr>
          <w:p w14:paraId="32D595CF"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$19,974,999</w:t>
            </w:r>
          </w:p>
        </w:tc>
        <w:tc>
          <w:tcPr>
            <w:tcW w:w="1320" w:type="dxa"/>
            <w:tcBorders>
              <w:top w:val="nil"/>
              <w:left w:val="nil"/>
              <w:bottom w:val="single" w:sz="4" w:space="0" w:color="auto"/>
              <w:right w:val="single" w:sz="4" w:space="0" w:color="auto"/>
            </w:tcBorders>
            <w:shd w:val="clear" w:color="auto" w:fill="auto"/>
            <w:noWrap/>
            <w:vAlign w:val="bottom"/>
            <w:hideMark/>
          </w:tcPr>
          <w:p w14:paraId="46E0F985"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$5,289,366</w:t>
            </w:r>
          </w:p>
        </w:tc>
        <w:tc>
          <w:tcPr>
            <w:tcW w:w="1400" w:type="dxa"/>
            <w:tcBorders>
              <w:top w:val="nil"/>
              <w:left w:val="nil"/>
              <w:bottom w:val="single" w:sz="4" w:space="0" w:color="auto"/>
              <w:right w:val="single" w:sz="4" w:space="0" w:color="auto"/>
            </w:tcBorders>
            <w:shd w:val="clear" w:color="auto" w:fill="auto"/>
            <w:noWrap/>
            <w:vAlign w:val="bottom"/>
            <w:hideMark/>
          </w:tcPr>
          <w:p w14:paraId="3FD13C8E"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$8,572,555</w:t>
            </w:r>
          </w:p>
        </w:tc>
        <w:tc>
          <w:tcPr>
            <w:tcW w:w="1200" w:type="dxa"/>
            <w:tcBorders>
              <w:top w:val="nil"/>
              <w:left w:val="nil"/>
              <w:bottom w:val="single" w:sz="4" w:space="0" w:color="auto"/>
              <w:right w:val="single" w:sz="4" w:space="0" w:color="auto"/>
            </w:tcBorders>
            <w:shd w:val="clear" w:color="auto" w:fill="auto"/>
            <w:noWrap/>
            <w:vAlign w:val="bottom"/>
            <w:hideMark/>
          </w:tcPr>
          <w:p w14:paraId="590CFA3D"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$135,586</w:t>
            </w:r>
          </w:p>
        </w:tc>
        <w:tc>
          <w:tcPr>
            <w:tcW w:w="1440" w:type="dxa"/>
            <w:tcBorders>
              <w:top w:val="nil"/>
              <w:left w:val="nil"/>
              <w:bottom w:val="single" w:sz="4" w:space="0" w:color="auto"/>
              <w:right w:val="single" w:sz="4" w:space="0" w:color="auto"/>
            </w:tcBorders>
            <w:shd w:val="clear" w:color="auto" w:fill="auto"/>
            <w:noWrap/>
            <w:vAlign w:val="bottom"/>
            <w:hideMark/>
          </w:tcPr>
          <w:p w14:paraId="61E8CA27"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14:paraId="3AA02BC3"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2DBB9967"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 </w:t>
            </w:r>
          </w:p>
        </w:tc>
      </w:tr>
      <w:tr w:rsidR="00E7038C" w:rsidRPr="00E7038C" w14:paraId="19DC5DF4" w14:textId="77777777" w:rsidTr="00E7038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6147FEB"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2010</w:t>
            </w:r>
          </w:p>
        </w:tc>
        <w:tc>
          <w:tcPr>
            <w:tcW w:w="1460" w:type="dxa"/>
            <w:tcBorders>
              <w:top w:val="nil"/>
              <w:left w:val="nil"/>
              <w:bottom w:val="single" w:sz="4" w:space="0" w:color="auto"/>
              <w:right w:val="single" w:sz="4" w:space="0" w:color="auto"/>
            </w:tcBorders>
            <w:shd w:val="clear" w:color="auto" w:fill="auto"/>
            <w:noWrap/>
            <w:vAlign w:val="bottom"/>
            <w:hideMark/>
          </w:tcPr>
          <w:p w14:paraId="4B7C224D"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$23,602,052</w:t>
            </w:r>
          </w:p>
        </w:tc>
        <w:tc>
          <w:tcPr>
            <w:tcW w:w="1320" w:type="dxa"/>
            <w:tcBorders>
              <w:top w:val="nil"/>
              <w:left w:val="nil"/>
              <w:bottom w:val="single" w:sz="4" w:space="0" w:color="auto"/>
              <w:right w:val="single" w:sz="4" w:space="0" w:color="auto"/>
            </w:tcBorders>
            <w:shd w:val="clear" w:color="auto" w:fill="auto"/>
            <w:noWrap/>
            <w:vAlign w:val="bottom"/>
            <w:hideMark/>
          </w:tcPr>
          <w:p w14:paraId="743CCC32"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$5,675,773</w:t>
            </w:r>
          </w:p>
        </w:tc>
        <w:tc>
          <w:tcPr>
            <w:tcW w:w="1400" w:type="dxa"/>
            <w:tcBorders>
              <w:top w:val="nil"/>
              <w:left w:val="nil"/>
              <w:bottom w:val="single" w:sz="4" w:space="0" w:color="auto"/>
              <w:right w:val="single" w:sz="4" w:space="0" w:color="auto"/>
            </w:tcBorders>
            <w:shd w:val="clear" w:color="auto" w:fill="auto"/>
            <w:noWrap/>
            <w:vAlign w:val="bottom"/>
            <w:hideMark/>
          </w:tcPr>
          <w:p w14:paraId="5B728D67"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$10,312,082</w:t>
            </w:r>
          </w:p>
        </w:tc>
        <w:tc>
          <w:tcPr>
            <w:tcW w:w="1200" w:type="dxa"/>
            <w:tcBorders>
              <w:top w:val="nil"/>
              <w:left w:val="nil"/>
              <w:bottom w:val="single" w:sz="4" w:space="0" w:color="auto"/>
              <w:right w:val="single" w:sz="4" w:space="0" w:color="auto"/>
            </w:tcBorders>
            <w:shd w:val="clear" w:color="auto" w:fill="auto"/>
            <w:noWrap/>
            <w:vAlign w:val="bottom"/>
            <w:hideMark/>
          </w:tcPr>
          <w:p w14:paraId="54A79058"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$0</w:t>
            </w:r>
          </w:p>
        </w:tc>
        <w:tc>
          <w:tcPr>
            <w:tcW w:w="1440" w:type="dxa"/>
            <w:tcBorders>
              <w:top w:val="nil"/>
              <w:left w:val="nil"/>
              <w:bottom w:val="single" w:sz="4" w:space="0" w:color="auto"/>
              <w:right w:val="single" w:sz="4" w:space="0" w:color="auto"/>
            </w:tcBorders>
            <w:shd w:val="clear" w:color="auto" w:fill="auto"/>
            <w:noWrap/>
            <w:vAlign w:val="bottom"/>
            <w:hideMark/>
          </w:tcPr>
          <w:p w14:paraId="3B595756"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$3,444,321</w:t>
            </w:r>
          </w:p>
        </w:tc>
        <w:tc>
          <w:tcPr>
            <w:tcW w:w="1260" w:type="dxa"/>
            <w:tcBorders>
              <w:top w:val="nil"/>
              <w:left w:val="nil"/>
              <w:bottom w:val="single" w:sz="4" w:space="0" w:color="auto"/>
              <w:right w:val="single" w:sz="4" w:space="0" w:color="auto"/>
            </w:tcBorders>
            <w:shd w:val="clear" w:color="auto" w:fill="auto"/>
            <w:noWrap/>
            <w:vAlign w:val="bottom"/>
            <w:hideMark/>
          </w:tcPr>
          <w:p w14:paraId="6D785023"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$1,900,000</w:t>
            </w:r>
          </w:p>
        </w:tc>
        <w:tc>
          <w:tcPr>
            <w:tcW w:w="1220" w:type="dxa"/>
            <w:tcBorders>
              <w:top w:val="nil"/>
              <w:left w:val="nil"/>
              <w:bottom w:val="single" w:sz="4" w:space="0" w:color="auto"/>
              <w:right w:val="single" w:sz="4" w:space="0" w:color="auto"/>
            </w:tcBorders>
            <w:shd w:val="clear" w:color="auto" w:fill="auto"/>
            <w:noWrap/>
            <w:vAlign w:val="bottom"/>
            <w:hideMark/>
          </w:tcPr>
          <w:p w14:paraId="3BA73D03"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$1,544,321</w:t>
            </w:r>
          </w:p>
        </w:tc>
      </w:tr>
      <w:tr w:rsidR="00E7038C" w:rsidRPr="00E7038C" w14:paraId="63C3A1C1" w14:textId="77777777" w:rsidTr="00E7038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60D2685"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2011</w:t>
            </w:r>
          </w:p>
        </w:tc>
        <w:tc>
          <w:tcPr>
            <w:tcW w:w="1460" w:type="dxa"/>
            <w:tcBorders>
              <w:top w:val="nil"/>
              <w:left w:val="nil"/>
              <w:bottom w:val="single" w:sz="4" w:space="0" w:color="auto"/>
              <w:right w:val="single" w:sz="4" w:space="0" w:color="auto"/>
            </w:tcBorders>
            <w:shd w:val="clear" w:color="auto" w:fill="auto"/>
            <w:noWrap/>
            <w:vAlign w:val="bottom"/>
            <w:hideMark/>
          </w:tcPr>
          <w:p w14:paraId="318B7DBB"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$31,087,648</w:t>
            </w:r>
          </w:p>
        </w:tc>
        <w:tc>
          <w:tcPr>
            <w:tcW w:w="1320" w:type="dxa"/>
            <w:tcBorders>
              <w:top w:val="nil"/>
              <w:left w:val="nil"/>
              <w:bottom w:val="single" w:sz="4" w:space="0" w:color="auto"/>
              <w:right w:val="single" w:sz="4" w:space="0" w:color="auto"/>
            </w:tcBorders>
            <w:shd w:val="clear" w:color="auto" w:fill="auto"/>
            <w:noWrap/>
            <w:vAlign w:val="bottom"/>
            <w:hideMark/>
          </w:tcPr>
          <w:p w14:paraId="4F63385D"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$8,670,182</w:t>
            </w:r>
          </w:p>
        </w:tc>
        <w:tc>
          <w:tcPr>
            <w:tcW w:w="1400" w:type="dxa"/>
            <w:tcBorders>
              <w:top w:val="nil"/>
              <w:left w:val="nil"/>
              <w:bottom w:val="single" w:sz="4" w:space="0" w:color="auto"/>
              <w:right w:val="single" w:sz="4" w:space="0" w:color="auto"/>
            </w:tcBorders>
            <w:shd w:val="clear" w:color="auto" w:fill="auto"/>
            <w:noWrap/>
            <w:vAlign w:val="bottom"/>
            <w:hideMark/>
          </w:tcPr>
          <w:p w14:paraId="2C7621ED"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$12,225,808</w:t>
            </w:r>
          </w:p>
        </w:tc>
        <w:tc>
          <w:tcPr>
            <w:tcW w:w="1200" w:type="dxa"/>
            <w:tcBorders>
              <w:top w:val="nil"/>
              <w:left w:val="nil"/>
              <w:bottom w:val="single" w:sz="4" w:space="0" w:color="auto"/>
              <w:right w:val="single" w:sz="4" w:space="0" w:color="auto"/>
            </w:tcBorders>
            <w:shd w:val="clear" w:color="auto" w:fill="auto"/>
            <w:noWrap/>
            <w:vAlign w:val="bottom"/>
            <w:hideMark/>
          </w:tcPr>
          <w:p w14:paraId="4B004847"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$312,613</w:t>
            </w:r>
          </w:p>
        </w:tc>
        <w:tc>
          <w:tcPr>
            <w:tcW w:w="1440" w:type="dxa"/>
            <w:tcBorders>
              <w:top w:val="nil"/>
              <w:left w:val="nil"/>
              <w:bottom w:val="single" w:sz="4" w:space="0" w:color="auto"/>
              <w:right w:val="single" w:sz="4" w:space="0" w:color="auto"/>
            </w:tcBorders>
            <w:shd w:val="clear" w:color="auto" w:fill="auto"/>
            <w:noWrap/>
            <w:vAlign w:val="bottom"/>
            <w:hideMark/>
          </w:tcPr>
          <w:p w14:paraId="64E1BB0F"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$392,434</w:t>
            </w:r>
          </w:p>
        </w:tc>
        <w:tc>
          <w:tcPr>
            <w:tcW w:w="1260" w:type="dxa"/>
            <w:tcBorders>
              <w:top w:val="nil"/>
              <w:left w:val="nil"/>
              <w:bottom w:val="single" w:sz="4" w:space="0" w:color="auto"/>
              <w:right w:val="single" w:sz="4" w:space="0" w:color="auto"/>
            </w:tcBorders>
            <w:shd w:val="clear" w:color="auto" w:fill="auto"/>
            <w:noWrap/>
            <w:vAlign w:val="bottom"/>
            <w:hideMark/>
          </w:tcPr>
          <w:p w14:paraId="42D22489"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12D07FCD"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$392,434</w:t>
            </w:r>
          </w:p>
        </w:tc>
      </w:tr>
      <w:tr w:rsidR="00E7038C" w:rsidRPr="00E7038C" w14:paraId="143212E9" w14:textId="77777777" w:rsidTr="00E7038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321517D"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2012</w:t>
            </w:r>
          </w:p>
        </w:tc>
        <w:tc>
          <w:tcPr>
            <w:tcW w:w="1460" w:type="dxa"/>
            <w:tcBorders>
              <w:top w:val="nil"/>
              <w:left w:val="nil"/>
              <w:bottom w:val="single" w:sz="4" w:space="0" w:color="auto"/>
              <w:right w:val="single" w:sz="4" w:space="0" w:color="auto"/>
            </w:tcBorders>
            <w:shd w:val="clear" w:color="auto" w:fill="auto"/>
            <w:noWrap/>
            <w:vAlign w:val="bottom"/>
            <w:hideMark/>
          </w:tcPr>
          <w:p w14:paraId="1040033A"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$34,525,323</w:t>
            </w:r>
          </w:p>
        </w:tc>
        <w:tc>
          <w:tcPr>
            <w:tcW w:w="1320" w:type="dxa"/>
            <w:tcBorders>
              <w:top w:val="nil"/>
              <w:left w:val="nil"/>
              <w:bottom w:val="single" w:sz="4" w:space="0" w:color="auto"/>
              <w:right w:val="single" w:sz="4" w:space="0" w:color="auto"/>
            </w:tcBorders>
            <w:shd w:val="clear" w:color="auto" w:fill="auto"/>
            <w:noWrap/>
            <w:vAlign w:val="bottom"/>
            <w:hideMark/>
          </w:tcPr>
          <w:p w14:paraId="02C8813F"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$9,799,200</w:t>
            </w:r>
          </w:p>
        </w:tc>
        <w:tc>
          <w:tcPr>
            <w:tcW w:w="1400" w:type="dxa"/>
            <w:tcBorders>
              <w:top w:val="nil"/>
              <w:left w:val="nil"/>
              <w:bottom w:val="single" w:sz="4" w:space="0" w:color="auto"/>
              <w:right w:val="single" w:sz="4" w:space="0" w:color="auto"/>
            </w:tcBorders>
            <w:shd w:val="clear" w:color="auto" w:fill="auto"/>
            <w:noWrap/>
            <w:vAlign w:val="bottom"/>
            <w:hideMark/>
          </w:tcPr>
          <w:p w14:paraId="6112F1B3"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$12,225,808</w:t>
            </w:r>
          </w:p>
        </w:tc>
        <w:tc>
          <w:tcPr>
            <w:tcW w:w="1200" w:type="dxa"/>
            <w:tcBorders>
              <w:top w:val="nil"/>
              <w:left w:val="nil"/>
              <w:bottom w:val="single" w:sz="4" w:space="0" w:color="auto"/>
              <w:right w:val="single" w:sz="4" w:space="0" w:color="auto"/>
            </w:tcBorders>
            <w:shd w:val="clear" w:color="auto" w:fill="auto"/>
            <w:noWrap/>
            <w:vAlign w:val="bottom"/>
            <w:hideMark/>
          </w:tcPr>
          <w:p w14:paraId="2ECF597D"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$560,269</w:t>
            </w:r>
          </w:p>
        </w:tc>
        <w:tc>
          <w:tcPr>
            <w:tcW w:w="1440" w:type="dxa"/>
            <w:tcBorders>
              <w:top w:val="nil"/>
              <w:left w:val="nil"/>
              <w:bottom w:val="single" w:sz="4" w:space="0" w:color="auto"/>
              <w:right w:val="single" w:sz="4" w:space="0" w:color="auto"/>
            </w:tcBorders>
            <w:shd w:val="clear" w:color="auto" w:fill="auto"/>
            <w:noWrap/>
            <w:vAlign w:val="bottom"/>
            <w:hideMark/>
          </w:tcPr>
          <w:p w14:paraId="63A8EBBF"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$93,151</w:t>
            </w:r>
          </w:p>
        </w:tc>
        <w:tc>
          <w:tcPr>
            <w:tcW w:w="1260" w:type="dxa"/>
            <w:tcBorders>
              <w:top w:val="nil"/>
              <w:left w:val="nil"/>
              <w:bottom w:val="single" w:sz="4" w:space="0" w:color="auto"/>
              <w:right w:val="single" w:sz="4" w:space="0" w:color="auto"/>
            </w:tcBorders>
            <w:shd w:val="clear" w:color="auto" w:fill="auto"/>
            <w:noWrap/>
            <w:vAlign w:val="bottom"/>
            <w:hideMark/>
          </w:tcPr>
          <w:p w14:paraId="6268E855"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6DA5FEEF"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$93,151</w:t>
            </w:r>
          </w:p>
        </w:tc>
      </w:tr>
      <w:tr w:rsidR="00E7038C" w:rsidRPr="00E7038C" w14:paraId="6596ACE4" w14:textId="77777777" w:rsidTr="00E7038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0C2053"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2013</w:t>
            </w:r>
          </w:p>
        </w:tc>
        <w:tc>
          <w:tcPr>
            <w:tcW w:w="1460" w:type="dxa"/>
            <w:tcBorders>
              <w:top w:val="nil"/>
              <w:left w:val="nil"/>
              <w:bottom w:val="single" w:sz="4" w:space="0" w:color="auto"/>
              <w:right w:val="single" w:sz="4" w:space="0" w:color="auto"/>
            </w:tcBorders>
            <w:shd w:val="clear" w:color="auto" w:fill="auto"/>
            <w:noWrap/>
            <w:vAlign w:val="bottom"/>
            <w:hideMark/>
          </w:tcPr>
          <w:p w14:paraId="4C410C62"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$33,563,511</w:t>
            </w:r>
          </w:p>
        </w:tc>
        <w:tc>
          <w:tcPr>
            <w:tcW w:w="1320" w:type="dxa"/>
            <w:tcBorders>
              <w:top w:val="nil"/>
              <w:left w:val="nil"/>
              <w:bottom w:val="single" w:sz="4" w:space="0" w:color="auto"/>
              <w:right w:val="single" w:sz="4" w:space="0" w:color="auto"/>
            </w:tcBorders>
            <w:shd w:val="clear" w:color="auto" w:fill="auto"/>
            <w:noWrap/>
            <w:vAlign w:val="bottom"/>
            <w:hideMark/>
          </w:tcPr>
          <w:p w14:paraId="7684EB95"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$2,315,589</w:t>
            </w:r>
          </w:p>
        </w:tc>
        <w:tc>
          <w:tcPr>
            <w:tcW w:w="1400" w:type="dxa"/>
            <w:tcBorders>
              <w:top w:val="nil"/>
              <w:left w:val="nil"/>
              <w:bottom w:val="single" w:sz="4" w:space="0" w:color="auto"/>
              <w:right w:val="single" w:sz="4" w:space="0" w:color="auto"/>
            </w:tcBorders>
            <w:shd w:val="clear" w:color="auto" w:fill="auto"/>
            <w:noWrap/>
            <w:vAlign w:val="bottom"/>
            <w:hideMark/>
          </w:tcPr>
          <w:p w14:paraId="644EA71E"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$15,587,876</w:t>
            </w:r>
          </w:p>
        </w:tc>
        <w:tc>
          <w:tcPr>
            <w:tcW w:w="1200" w:type="dxa"/>
            <w:tcBorders>
              <w:top w:val="nil"/>
              <w:left w:val="nil"/>
              <w:bottom w:val="single" w:sz="4" w:space="0" w:color="auto"/>
              <w:right w:val="single" w:sz="4" w:space="0" w:color="auto"/>
            </w:tcBorders>
            <w:shd w:val="clear" w:color="auto" w:fill="auto"/>
            <w:noWrap/>
            <w:vAlign w:val="bottom"/>
            <w:hideMark/>
          </w:tcPr>
          <w:p w14:paraId="386E0AA2"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$697,106</w:t>
            </w:r>
          </w:p>
        </w:tc>
        <w:tc>
          <w:tcPr>
            <w:tcW w:w="1440" w:type="dxa"/>
            <w:tcBorders>
              <w:top w:val="nil"/>
              <w:left w:val="nil"/>
              <w:bottom w:val="single" w:sz="4" w:space="0" w:color="auto"/>
              <w:right w:val="single" w:sz="4" w:space="0" w:color="auto"/>
            </w:tcBorders>
            <w:shd w:val="clear" w:color="auto" w:fill="auto"/>
            <w:noWrap/>
            <w:vAlign w:val="bottom"/>
            <w:hideMark/>
          </w:tcPr>
          <w:p w14:paraId="709AAF6E"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$1,207,469</w:t>
            </w:r>
          </w:p>
        </w:tc>
        <w:tc>
          <w:tcPr>
            <w:tcW w:w="1260" w:type="dxa"/>
            <w:tcBorders>
              <w:top w:val="nil"/>
              <w:left w:val="nil"/>
              <w:bottom w:val="single" w:sz="4" w:space="0" w:color="auto"/>
              <w:right w:val="single" w:sz="4" w:space="0" w:color="auto"/>
            </w:tcBorders>
            <w:shd w:val="clear" w:color="auto" w:fill="auto"/>
            <w:noWrap/>
            <w:vAlign w:val="bottom"/>
            <w:hideMark/>
          </w:tcPr>
          <w:p w14:paraId="79491335"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$750,000</w:t>
            </w:r>
          </w:p>
        </w:tc>
        <w:tc>
          <w:tcPr>
            <w:tcW w:w="1220" w:type="dxa"/>
            <w:tcBorders>
              <w:top w:val="nil"/>
              <w:left w:val="nil"/>
              <w:bottom w:val="single" w:sz="4" w:space="0" w:color="auto"/>
              <w:right w:val="single" w:sz="4" w:space="0" w:color="auto"/>
            </w:tcBorders>
            <w:shd w:val="clear" w:color="auto" w:fill="auto"/>
            <w:noWrap/>
            <w:vAlign w:val="bottom"/>
            <w:hideMark/>
          </w:tcPr>
          <w:p w14:paraId="0372C906"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$457,469</w:t>
            </w:r>
          </w:p>
        </w:tc>
      </w:tr>
      <w:tr w:rsidR="00E7038C" w:rsidRPr="00E7038C" w14:paraId="0B374F0A" w14:textId="77777777" w:rsidTr="00E7038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738C21"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2014</w:t>
            </w:r>
          </w:p>
        </w:tc>
        <w:tc>
          <w:tcPr>
            <w:tcW w:w="1460" w:type="dxa"/>
            <w:tcBorders>
              <w:top w:val="nil"/>
              <w:left w:val="nil"/>
              <w:bottom w:val="single" w:sz="4" w:space="0" w:color="auto"/>
              <w:right w:val="single" w:sz="4" w:space="0" w:color="auto"/>
            </w:tcBorders>
            <w:shd w:val="clear" w:color="auto" w:fill="auto"/>
            <w:noWrap/>
            <w:vAlign w:val="bottom"/>
            <w:hideMark/>
          </w:tcPr>
          <w:p w14:paraId="4BD3BE01"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$35,856,601</w:t>
            </w:r>
          </w:p>
        </w:tc>
        <w:tc>
          <w:tcPr>
            <w:tcW w:w="1320" w:type="dxa"/>
            <w:tcBorders>
              <w:top w:val="nil"/>
              <w:left w:val="nil"/>
              <w:bottom w:val="single" w:sz="4" w:space="0" w:color="auto"/>
              <w:right w:val="single" w:sz="4" w:space="0" w:color="auto"/>
            </w:tcBorders>
            <w:shd w:val="clear" w:color="auto" w:fill="auto"/>
            <w:noWrap/>
            <w:vAlign w:val="bottom"/>
            <w:hideMark/>
          </w:tcPr>
          <w:p w14:paraId="152D1B69"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$7,120,386</w:t>
            </w:r>
          </w:p>
        </w:tc>
        <w:tc>
          <w:tcPr>
            <w:tcW w:w="1400" w:type="dxa"/>
            <w:tcBorders>
              <w:top w:val="nil"/>
              <w:left w:val="nil"/>
              <w:bottom w:val="single" w:sz="4" w:space="0" w:color="auto"/>
              <w:right w:val="single" w:sz="4" w:space="0" w:color="auto"/>
            </w:tcBorders>
            <w:shd w:val="clear" w:color="auto" w:fill="auto"/>
            <w:noWrap/>
            <w:vAlign w:val="bottom"/>
            <w:hideMark/>
          </w:tcPr>
          <w:p w14:paraId="7E8145F6"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$12,225,808</w:t>
            </w:r>
          </w:p>
        </w:tc>
        <w:tc>
          <w:tcPr>
            <w:tcW w:w="1200" w:type="dxa"/>
            <w:tcBorders>
              <w:top w:val="nil"/>
              <w:left w:val="nil"/>
              <w:bottom w:val="single" w:sz="4" w:space="0" w:color="auto"/>
              <w:right w:val="single" w:sz="4" w:space="0" w:color="auto"/>
            </w:tcBorders>
            <w:shd w:val="clear" w:color="auto" w:fill="auto"/>
            <w:noWrap/>
            <w:vAlign w:val="bottom"/>
            <w:hideMark/>
          </w:tcPr>
          <w:p w14:paraId="4065DEC3"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$632,821</w:t>
            </w:r>
          </w:p>
        </w:tc>
        <w:tc>
          <w:tcPr>
            <w:tcW w:w="1440" w:type="dxa"/>
            <w:tcBorders>
              <w:top w:val="nil"/>
              <w:left w:val="nil"/>
              <w:bottom w:val="single" w:sz="4" w:space="0" w:color="auto"/>
              <w:right w:val="single" w:sz="4" w:space="0" w:color="auto"/>
            </w:tcBorders>
            <w:shd w:val="clear" w:color="auto" w:fill="auto"/>
            <w:noWrap/>
            <w:vAlign w:val="bottom"/>
            <w:hideMark/>
          </w:tcPr>
          <w:p w14:paraId="1F1FA400"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$2,783,353</w:t>
            </w:r>
          </w:p>
        </w:tc>
        <w:tc>
          <w:tcPr>
            <w:tcW w:w="1260" w:type="dxa"/>
            <w:tcBorders>
              <w:top w:val="nil"/>
              <w:left w:val="nil"/>
              <w:bottom w:val="single" w:sz="4" w:space="0" w:color="auto"/>
              <w:right w:val="single" w:sz="4" w:space="0" w:color="auto"/>
            </w:tcBorders>
            <w:shd w:val="clear" w:color="auto" w:fill="auto"/>
            <w:noWrap/>
            <w:vAlign w:val="bottom"/>
            <w:hideMark/>
          </w:tcPr>
          <w:p w14:paraId="1BE36094"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$1,500,000</w:t>
            </w:r>
          </w:p>
        </w:tc>
        <w:tc>
          <w:tcPr>
            <w:tcW w:w="1220" w:type="dxa"/>
            <w:tcBorders>
              <w:top w:val="nil"/>
              <w:left w:val="nil"/>
              <w:bottom w:val="single" w:sz="4" w:space="0" w:color="auto"/>
              <w:right w:val="single" w:sz="4" w:space="0" w:color="auto"/>
            </w:tcBorders>
            <w:shd w:val="clear" w:color="auto" w:fill="auto"/>
            <w:noWrap/>
            <w:vAlign w:val="bottom"/>
            <w:hideMark/>
          </w:tcPr>
          <w:p w14:paraId="7CFCD9AA"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$1,283,353</w:t>
            </w:r>
          </w:p>
        </w:tc>
      </w:tr>
      <w:tr w:rsidR="00E7038C" w:rsidRPr="00E7038C" w14:paraId="093C0F7A" w14:textId="77777777" w:rsidTr="00E7038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3DFE4E8"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2015</w:t>
            </w:r>
          </w:p>
        </w:tc>
        <w:tc>
          <w:tcPr>
            <w:tcW w:w="1460" w:type="dxa"/>
            <w:tcBorders>
              <w:top w:val="nil"/>
              <w:left w:val="nil"/>
              <w:bottom w:val="single" w:sz="4" w:space="0" w:color="auto"/>
              <w:right w:val="single" w:sz="4" w:space="0" w:color="auto"/>
            </w:tcBorders>
            <w:shd w:val="clear" w:color="auto" w:fill="auto"/>
            <w:noWrap/>
            <w:vAlign w:val="bottom"/>
            <w:hideMark/>
          </w:tcPr>
          <w:p w14:paraId="1F5D93EA"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$32,808,038</w:t>
            </w:r>
          </w:p>
        </w:tc>
        <w:tc>
          <w:tcPr>
            <w:tcW w:w="1320" w:type="dxa"/>
            <w:tcBorders>
              <w:top w:val="nil"/>
              <w:left w:val="nil"/>
              <w:bottom w:val="single" w:sz="4" w:space="0" w:color="auto"/>
              <w:right w:val="single" w:sz="4" w:space="0" w:color="auto"/>
            </w:tcBorders>
            <w:shd w:val="clear" w:color="auto" w:fill="auto"/>
            <w:noWrap/>
            <w:vAlign w:val="bottom"/>
            <w:hideMark/>
          </w:tcPr>
          <w:p w14:paraId="6400469B"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$776,400</w:t>
            </w:r>
          </w:p>
        </w:tc>
        <w:tc>
          <w:tcPr>
            <w:tcW w:w="1400" w:type="dxa"/>
            <w:tcBorders>
              <w:top w:val="nil"/>
              <w:left w:val="nil"/>
              <w:bottom w:val="single" w:sz="4" w:space="0" w:color="auto"/>
              <w:right w:val="single" w:sz="4" w:space="0" w:color="auto"/>
            </w:tcBorders>
            <w:shd w:val="clear" w:color="auto" w:fill="auto"/>
            <w:noWrap/>
            <w:vAlign w:val="bottom"/>
            <w:hideMark/>
          </w:tcPr>
          <w:p w14:paraId="79A196E6"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$13,746,372</w:t>
            </w:r>
          </w:p>
        </w:tc>
        <w:tc>
          <w:tcPr>
            <w:tcW w:w="1200" w:type="dxa"/>
            <w:tcBorders>
              <w:top w:val="nil"/>
              <w:left w:val="nil"/>
              <w:bottom w:val="single" w:sz="4" w:space="0" w:color="auto"/>
              <w:right w:val="single" w:sz="4" w:space="0" w:color="auto"/>
            </w:tcBorders>
            <w:shd w:val="clear" w:color="auto" w:fill="auto"/>
            <w:noWrap/>
            <w:vAlign w:val="bottom"/>
            <w:hideMark/>
          </w:tcPr>
          <w:p w14:paraId="4726F9A7"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$304,279</w:t>
            </w:r>
          </w:p>
        </w:tc>
        <w:tc>
          <w:tcPr>
            <w:tcW w:w="1440" w:type="dxa"/>
            <w:tcBorders>
              <w:top w:val="nil"/>
              <w:left w:val="nil"/>
              <w:bottom w:val="single" w:sz="4" w:space="0" w:color="auto"/>
              <w:right w:val="single" w:sz="4" w:space="0" w:color="auto"/>
            </w:tcBorders>
            <w:shd w:val="clear" w:color="auto" w:fill="auto"/>
            <w:noWrap/>
            <w:vAlign w:val="bottom"/>
            <w:hideMark/>
          </w:tcPr>
          <w:p w14:paraId="3D445E80"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$2,802,300</w:t>
            </w:r>
          </w:p>
        </w:tc>
        <w:tc>
          <w:tcPr>
            <w:tcW w:w="1260" w:type="dxa"/>
            <w:tcBorders>
              <w:top w:val="nil"/>
              <w:left w:val="nil"/>
              <w:bottom w:val="single" w:sz="4" w:space="0" w:color="auto"/>
              <w:right w:val="single" w:sz="4" w:space="0" w:color="auto"/>
            </w:tcBorders>
            <w:shd w:val="clear" w:color="auto" w:fill="auto"/>
            <w:noWrap/>
            <w:vAlign w:val="bottom"/>
            <w:hideMark/>
          </w:tcPr>
          <w:p w14:paraId="02EA1E62"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$2,525,000</w:t>
            </w:r>
          </w:p>
        </w:tc>
        <w:tc>
          <w:tcPr>
            <w:tcW w:w="1220" w:type="dxa"/>
            <w:tcBorders>
              <w:top w:val="nil"/>
              <w:left w:val="nil"/>
              <w:bottom w:val="single" w:sz="4" w:space="0" w:color="auto"/>
              <w:right w:val="single" w:sz="4" w:space="0" w:color="auto"/>
            </w:tcBorders>
            <w:shd w:val="clear" w:color="auto" w:fill="auto"/>
            <w:noWrap/>
            <w:vAlign w:val="bottom"/>
            <w:hideMark/>
          </w:tcPr>
          <w:p w14:paraId="6A9C4CD2" w14:textId="77777777" w:rsidR="00E7038C" w:rsidRPr="00E7038C" w:rsidRDefault="00E7038C" w:rsidP="00E7038C">
            <w:pPr>
              <w:jc w:val="right"/>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$277,300</w:t>
            </w:r>
          </w:p>
        </w:tc>
      </w:tr>
      <w:tr w:rsidR="00E7038C" w:rsidRPr="00E7038C" w14:paraId="6DB0A02B" w14:textId="77777777" w:rsidTr="00E7038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2A771D" w14:textId="77777777" w:rsidR="00E7038C" w:rsidRPr="00E7038C" w:rsidRDefault="00E7038C" w:rsidP="00E7038C">
            <w:pPr>
              <w:rPr>
                <w:rFonts w:ascii="Calibri" w:eastAsia="Times New Roman" w:hAnsi="Calibri" w:cs="Times New Roman"/>
                <w:color w:val="000000"/>
                <w:sz w:val="22"/>
                <w:szCs w:val="22"/>
              </w:rPr>
            </w:pPr>
            <w:r w:rsidRPr="00E7038C">
              <w:rPr>
                <w:rFonts w:ascii="Calibri" w:eastAsia="Times New Roman" w:hAnsi="Calibri" w:cs="Times New Roman"/>
                <w:color w:val="000000"/>
                <w:sz w:val="22"/>
                <w:szCs w:val="22"/>
              </w:rPr>
              <w:t>Total</w:t>
            </w:r>
          </w:p>
        </w:tc>
        <w:tc>
          <w:tcPr>
            <w:tcW w:w="1460" w:type="dxa"/>
            <w:tcBorders>
              <w:top w:val="nil"/>
              <w:left w:val="nil"/>
              <w:bottom w:val="single" w:sz="4" w:space="0" w:color="auto"/>
              <w:right w:val="single" w:sz="4" w:space="0" w:color="auto"/>
            </w:tcBorders>
            <w:shd w:val="clear" w:color="auto" w:fill="auto"/>
            <w:noWrap/>
            <w:vAlign w:val="bottom"/>
            <w:hideMark/>
          </w:tcPr>
          <w:p w14:paraId="58286B6D" w14:textId="77777777" w:rsidR="00E7038C" w:rsidRPr="00E7038C" w:rsidRDefault="00E7038C" w:rsidP="00E7038C">
            <w:pPr>
              <w:jc w:val="right"/>
              <w:rPr>
                <w:rFonts w:ascii="Calibri" w:eastAsia="Times New Roman" w:hAnsi="Calibri" w:cs="Times New Roman"/>
                <w:b/>
                <w:color w:val="000000"/>
                <w:sz w:val="22"/>
                <w:szCs w:val="22"/>
              </w:rPr>
            </w:pPr>
            <w:r w:rsidRPr="00E7038C">
              <w:rPr>
                <w:rFonts w:ascii="Calibri" w:eastAsia="Times New Roman" w:hAnsi="Calibri" w:cs="Times New Roman"/>
                <w:b/>
                <w:color w:val="000000"/>
                <w:sz w:val="22"/>
                <w:szCs w:val="22"/>
              </w:rPr>
              <w:t>$211,418,172</w:t>
            </w:r>
          </w:p>
        </w:tc>
        <w:tc>
          <w:tcPr>
            <w:tcW w:w="1320" w:type="dxa"/>
            <w:tcBorders>
              <w:top w:val="nil"/>
              <w:left w:val="nil"/>
              <w:bottom w:val="single" w:sz="4" w:space="0" w:color="auto"/>
              <w:right w:val="single" w:sz="4" w:space="0" w:color="auto"/>
            </w:tcBorders>
            <w:shd w:val="clear" w:color="auto" w:fill="auto"/>
            <w:noWrap/>
            <w:vAlign w:val="bottom"/>
            <w:hideMark/>
          </w:tcPr>
          <w:p w14:paraId="21AE10E9" w14:textId="77777777" w:rsidR="00E7038C" w:rsidRPr="00E7038C" w:rsidRDefault="00E7038C" w:rsidP="00E7038C">
            <w:pPr>
              <w:jc w:val="right"/>
              <w:rPr>
                <w:rFonts w:ascii="Calibri" w:eastAsia="Times New Roman" w:hAnsi="Calibri" w:cs="Times New Roman"/>
                <w:b/>
                <w:color w:val="000000"/>
                <w:sz w:val="22"/>
                <w:szCs w:val="22"/>
              </w:rPr>
            </w:pPr>
            <w:r w:rsidRPr="00E7038C">
              <w:rPr>
                <w:rFonts w:ascii="Calibri" w:eastAsia="Times New Roman" w:hAnsi="Calibri" w:cs="Times New Roman"/>
                <w:b/>
                <w:color w:val="000000"/>
                <w:sz w:val="22"/>
                <w:szCs w:val="22"/>
              </w:rPr>
              <w:t>$39,646,896</w:t>
            </w:r>
          </w:p>
        </w:tc>
        <w:tc>
          <w:tcPr>
            <w:tcW w:w="1400" w:type="dxa"/>
            <w:tcBorders>
              <w:top w:val="nil"/>
              <w:left w:val="nil"/>
              <w:bottom w:val="single" w:sz="4" w:space="0" w:color="auto"/>
              <w:right w:val="single" w:sz="4" w:space="0" w:color="auto"/>
            </w:tcBorders>
            <w:shd w:val="clear" w:color="auto" w:fill="auto"/>
            <w:noWrap/>
            <w:vAlign w:val="bottom"/>
            <w:hideMark/>
          </w:tcPr>
          <w:p w14:paraId="2DCB8C18" w14:textId="77777777" w:rsidR="00E7038C" w:rsidRPr="00E7038C" w:rsidRDefault="00E7038C" w:rsidP="00E7038C">
            <w:pPr>
              <w:jc w:val="right"/>
              <w:rPr>
                <w:rFonts w:ascii="Calibri" w:eastAsia="Times New Roman" w:hAnsi="Calibri" w:cs="Times New Roman"/>
                <w:b/>
                <w:color w:val="000000"/>
                <w:sz w:val="22"/>
                <w:szCs w:val="22"/>
              </w:rPr>
            </w:pPr>
            <w:r w:rsidRPr="00E7038C">
              <w:rPr>
                <w:rFonts w:ascii="Calibri" w:eastAsia="Times New Roman" w:hAnsi="Calibri" w:cs="Times New Roman"/>
                <w:b/>
                <w:color w:val="000000"/>
                <w:sz w:val="22"/>
                <w:szCs w:val="22"/>
              </w:rPr>
              <w:t>$84,896,309</w:t>
            </w:r>
          </w:p>
        </w:tc>
        <w:tc>
          <w:tcPr>
            <w:tcW w:w="1200" w:type="dxa"/>
            <w:tcBorders>
              <w:top w:val="nil"/>
              <w:left w:val="nil"/>
              <w:bottom w:val="single" w:sz="4" w:space="0" w:color="auto"/>
              <w:right w:val="single" w:sz="4" w:space="0" w:color="auto"/>
            </w:tcBorders>
            <w:shd w:val="clear" w:color="auto" w:fill="auto"/>
            <w:noWrap/>
            <w:vAlign w:val="bottom"/>
            <w:hideMark/>
          </w:tcPr>
          <w:p w14:paraId="74CA3933" w14:textId="77777777" w:rsidR="00E7038C" w:rsidRPr="00E7038C" w:rsidRDefault="00E7038C" w:rsidP="00E7038C">
            <w:pPr>
              <w:jc w:val="right"/>
              <w:rPr>
                <w:rFonts w:ascii="Calibri" w:eastAsia="Times New Roman" w:hAnsi="Calibri" w:cs="Times New Roman"/>
                <w:b/>
                <w:color w:val="000000"/>
                <w:sz w:val="22"/>
                <w:szCs w:val="22"/>
              </w:rPr>
            </w:pPr>
            <w:r w:rsidRPr="00E7038C">
              <w:rPr>
                <w:rFonts w:ascii="Calibri" w:eastAsia="Times New Roman" w:hAnsi="Calibri" w:cs="Times New Roman"/>
                <w:b/>
                <w:color w:val="000000"/>
                <w:sz w:val="22"/>
                <w:szCs w:val="22"/>
              </w:rPr>
              <w:t>$2,642,674</w:t>
            </w:r>
          </w:p>
        </w:tc>
        <w:tc>
          <w:tcPr>
            <w:tcW w:w="1440" w:type="dxa"/>
            <w:tcBorders>
              <w:top w:val="nil"/>
              <w:left w:val="nil"/>
              <w:bottom w:val="single" w:sz="4" w:space="0" w:color="auto"/>
              <w:right w:val="single" w:sz="4" w:space="0" w:color="auto"/>
            </w:tcBorders>
            <w:shd w:val="clear" w:color="auto" w:fill="auto"/>
            <w:noWrap/>
            <w:vAlign w:val="bottom"/>
            <w:hideMark/>
          </w:tcPr>
          <w:p w14:paraId="0D015A7B" w14:textId="77777777" w:rsidR="00E7038C" w:rsidRPr="00E7038C" w:rsidRDefault="00E7038C" w:rsidP="00E7038C">
            <w:pPr>
              <w:jc w:val="right"/>
              <w:rPr>
                <w:rFonts w:ascii="Calibri" w:eastAsia="Times New Roman" w:hAnsi="Calibri" w:cs="Times New Roman"/>
                <w:b/>
                <w:color w:val="000000"/>
                <w:sz w:val="22"/>
                <w:szCs w:val="22"/>
              </w:rPr>
            </w:pPr>
            <w:r w:rsidRPr="00E7038C">
              <w:rPr>
                <w:rFonts w:ascii="Calibri" w:eastAsia="Times New Roman" w:hAnsi="Calibri" w:cs="Times New Roman"/>
                <w:b/>
                <w:color w:val="000000"/>
                <w:sz w:val="22"/>
                <w:szCs w:val="22"/>
              </w:rPr>
              <w:t>$10,723,028</w:t>
            </w:r>
          </w:p>
        </w:tc>
        <w:tc>
          <w:tcPr>
            <w:tcW w:w="1260" w:type="dxa"/>
            <w:tcBorders>
              <w:top w:val="nil"/>
              <w:left w:val="nil"/>
              <w:bottom w:val="single" w:sz="4" w:space="0" w:color="auto"/>
              <w:right w:val="single" w:sz="4" w:space="0" w:color="auto"/>
            </w:tcBorders>
            <w:shd w:val="clear" w:color="auto" w:fill="auto"/>
            <w:noWrap/>
            <w:vAlign w:val="bottom"/>
            <w:hideMark/>
          </w:tcPr>
          <w:p w14:paraId="07F8EB64" w14:textId="77777777" w:rsidR="00E7038C" w:rsidRPr="00E7038C" w:rsidRDefault="00E7038C" w:rsidP="00E7038C">
            <w:pPr>
              <w:jc w:val="right"/>
              <w:rPr>
                <w:rFonts w:ascii="Calibri" w:eastAsia="Times New Roman" w:hAnsi="Calibri" w:cs="Times New Roman"/>
                <w:b/>
                <w:color w:val="000000"/>
                <w:sz w:val="22"/>
                <w:szCs w:val="22"/>
              </w:rPr>
            </w:pPr>
            <w:r w:rsidRPr="00E7038C">
              <w:rPr>
                <w:rFonts w:ascii="Calibri" w:eastAsia="Times New Roman" w:hAnsi="Calibri" w:cs="Times New Roman"/>
                <w:b/>
                <w:color w:val="000000"/>
                <w:sz w:val="22"/>
                <w:szCs w:val="22"/>
              </w:rPr>
              <w:t>$6,675,000</w:t>
            </w:r>
          </w:p>
        </w:tc>
        <w:tc>
          <w:tcPr>
            <w:tcW w:w="1220" w:type="dxa"/>
            <w:tcBorders>
              <w:top w:val="nil"/>
              <w:left w:val="nil"/>
              <w:bottom w:val="single" w:sz="4" w:space="0" w:color="auto"/>
              <w:right w:val="single" w:sz="4" w:space="0" w:color="auto"/>
            </w:tcBorders>
            <w:shd w:val="clear" w:color="auto" w:fill="auto"/>
            <w:noWrap/>
            <w:vAlign w:val="bottom"/>
            <w:hideMark/>
          </w:tcPr>
          <w:p w14:paraId="736B1279" w14:textId="77777777" w:rsidR="00E7038C" w:rsidRPr="00E7038C" w:rsidRDefault="00E7038C" w:rsidP="00E7038C">
            <w:pPr>
              <w:jc w:val="right"/>
              <w:rPr>
                <w:rFonts w:ascii="Calibri" w:eastAsia="Times New Roman" w:hAnsi="Calibri" w:cs="Times New Roman"/>
                <w:b/>
                <w:color w:val="000000"/>
                <w:sz w:val="22"/>
                <w:szCs w:val="22"/>
              </w:rPr>
            </w:pPr>
            <w:r w:rsidRPr="00E7038C">
              <w:rPr>
                <w:rFonts w:ascii="Calibri" w:eastAsia="Times New Roman" w:hAnsi="Calibri" w:cs="Times New Roman"/>
                <w:b/>
                <w:color w:val="000000"/>
                <w:sz w:val="22"/>
                <w:szCs w:val="22"/>
              </w:rPr>
              <w:t>$4,048,028</w:t>
            </w:r>
          </w:p>
        </w:tc>
      </w:tr>
    </w:tbl>
    <w:p w14:paraId="4AA7B2CD" w14:textId="77777777" w:rsidR="00BD5A76" w:rsidRDefault="00BD5A76" w:rsidP="00FE5C26">
      <w:pPr>
        <w:rPr>
          <w:rFonts w:ascii="Calibri" w:eastAsia="Times New Roman" w:hAnsi="Calibri" w:cs="Times New Roman"/>
          <w:color w:val="000000"/>
        </w:rPr>
      </w:pPr>
    </w:p>
    <w:p w14:paraId="5B223756" w14:textId="11A91419" w:rsidR="00C74404" w:rsidRPr="00C74404" w:rsidRDefault="008921AC" w:rsidP="00FE5C26">
      <w:pPr>
        <w:rPr>
          <w:rFonts w:ascii="Calibri" w:eastAsia="Times New Roman" w:hAnsi="Calibri" w:cs="Times New Roman"/>
          <w:b/>
          <w:color w:val="000000"/>
          <w:sz w:val="28"/>
          <w:szCs w:val="28"/>
        </w:rPr>
      </w:pPr>
      <w:r w:rsidRPr="00C74404">
        <w:rPr>
          <w:rFonts w:ascii="Calibri" w:eastAsia="Times New Roman" w:hAnsi="Calibri" w:cs="Times New Roman"/>
          <w:b/>
          <w:color w:val="000000"/>
          <w:sz w:val="28"/>
          <w:szCs w:val="28"/>
        </w:rPr>
        <w:t>Primavera Online as for</w:t>
      </w:r>
      <w:r w:rsidR="00BD5A76" w:rsidRPr="00C74404">
        <w:rPr>
          <w:rFonts w:ascii="Calibri" w:eastAsia="Times New Roman" w:hAnsi="Calibri" w:cs="Times New Roman"/>
          <w:b/>
          <w:color w:val="000000"/>
          <w:sz w:val="28"/>
          <w:szCs w:val="28"/>
        </w:rPr>
        <w:t xml:space="preserve">-profit </w:t>
      </w:r>
      <w:r w:rsidRPr="00C74404">
        <w:rPr>
          <w:rFonts w:ascii="Calibri" w:eastAsia="Times New Roman" w:hAnsi="Calibri" w:cs="Times New Roman"/>
          <w:b/>
          <w:color w:val="000000"/>
          <w:sz w:val="28"/>
          <w:szCs w:val="28"/>
        </w:rPr>
        <w:t xml:space="preserve">American Virtual Academy </w:t>
      </w:r>
      <w:r w:rsidR="00BD5A76" w:rsidRPr="00C74404">
        <w:rPr>
          <w:rFonts w:ascii="Calibri" w:eastAsia="Times New Roman" w:hAnsi="Calibri" w:cs="Times New Roman"/>
          <w:b/>
          <w:color w:val="000000"/>
          <w:sz w:val="28"/>
          <w:szCs w:val="28"/>
        </w:rPr>
        <w:t>2015-16</w:t>
      </w:r>
    </w:p>
    <w:p w14:paraId="4AC16A0D" w14:textId="3427E26B" w:rsidR="00586C48" w:rsidRDefault="00FE5C26" w:rsidP="00932B15">
      <w:pPr>
        <w:rPr>
          <w:rFonts w:ascii="Calibri" w:eastAsia="Times New Roman" w:hAnsi="Calibri" w:cs="Times New Roman"/>
          <w:color w:val="000000"/>
        </w:rPr>
      </w:pPr>
      <w:r>
        <w:rPr>
          <w:rFonts w:ascii="Calibri" w:eastAsia="Times New Roman" w:hAnsi="Calibri" w:cs="Times New Roman"/>
          <w:color w:val="000000"/>
        </w:rPr>
        <w:t xml:space="preserve">Although the agreement signed by the Charter Board </w:t>
      </w:r>
      <w:r w:rsidR="00BD5A76">
        <w:rPr>
          <w:rFonts w:ascii="Calibri" w:eastAsia="Times New Roman" w:hAnsi="Calibri" w:cs="Times New Roman"/>
          <w:color w:val="000000"/>
        </w:rPr>
        <w:t>stipulated a</w:t>
      </w:r>
      <w:r>
        <w:rPr>
          <w:rFonts w:ascii="Calibri" w:eastAsia="Times New Roman" w:hAnsi="Calibri" w:cs="Times New Roman"/>
          <w:color w:val="000000"/>
        </w:rPr>
        <w:t xml:space="preserve"> transfer date of July 1, 2016,</w:t>
      </w:r>
      <w:r w:rsidR="00C24499">
        <w:rPr>
          <w:rFonts w:ascii="Calibri" w:eastAsia="Times New Roman" w:hAnsi="Calibri" w:cs="Times New Roman"/>
          <w:color w:val="000000"/>
        </w:rPr>
        <w:t xml:space="preserve"> AVA took control of the school</w:t>
      </w:r>
      <w:r>
        <w:rPr>
          <w:rFonts w:ascii="Calibri" w:eastAsia="Times New Roman" w:hAnsi="Calibri" w:cs="Times New Roman"/>
          <w:color w:val="000000"/>
        </w:rPr>
        <w:t xml:space="preserve"> a year earlier on </w:t>
      </w:r>
      <w:r w:rsidR="008921AC">
        <w:rPr>
          <w:rFonts w:ascii="Calibri" w:eastAsia="Times New Roman" w:hAnsi="Calibri" w:cs="Times New Roman"/>
          <w:color w:val="000000"/>
        </w:rPr>
        <w:t>July</w:t>
      </w:r>
      <w:r>
        <w:rPr>
          <w:rFonts w:ascii="Calibri" w:eastAsia="Times New Roman" w:hAnsi="Calibri" w:cs="Times New Roman"/>
          <w:color w:val="000000"/>
        </w:rPr>
        <w:t xml:space="preserve"> 1, 2015.</w:t>
      </w:r>
      <w:r w:rsidR="007B1A0B">
        <w:rPr>
          <w:rStyle w:val="FootnoteReference"/>
          <w:rFonts w:ascii="Calibri" w:eastAsia="Times New Roman" w:hAnsi="Calibri" w:cs="Times New Roman"/>
          <w:color w:val="000000"/>
        </w:rPr>
        <w:footnoteReference w:id="12"/>
      </w:r>
      <w:r>
        <w:rPr>
          <w:rFonts w:ascii="Calibri" w:eastAsia="Times New Roman" w:hAnsi="Calibri" w:cs="Times New Roman"/>
          <w:color w:val="000000"/>
        </w:rPr>
        <w:t xml:space="preserve"> </w:t>
      </w:r>
      <w:r w:rsidR="00D157E9">
        <w:rPr>
          <w:rFonts w:ascii="Calibri" w:eastAsia="Times New Roman" w:hAnsi="Calibri" w:cs="Times New Roman"/>
          <w:color w:val="000000"/>
        </w:rPr>
        <w:t xml:space="preserve"> Creamer incorporated a new </w:t>
      </w:r>
      <w:r w:rsidR="007B1A0B">
        <w:rPr>
          <w:rFonts w:ascii="Calibri" w:eastAsia="Times New Roman" w:hAnsi="Calibri" w:cs="Times New Roman"/>
          <w:color w:val="000000"/>
        </w:rPr>
        <w:t xml:space="preserve">educational software </w:t>
      </w:r>
      <w:r w:rsidR="00D157E9">
        <w:rPr>
          <w:rFonts w:ascii="Calibri" w:eastAsia="Times New Roman" w:hAnsi="Calibri" w:cs="Times New Roman"/>
          <w:color w:val="000000"/>
        </w:rPr>
        <w:t>company, FlipSwitch Inc.</w:t>
      </w:r>
      <w:r w:rsidR="007B1A0B">
        <w:rPr>
          <w:rFonts w:ascii="Calibri" w:eastAsia="Times New Roman" w:hAnsi="Calibri" w:cs="Times New Roman"/>
          <w:color w:val="000000"/>
        </w:rPr>
        <w:t>,</w:t>
      </w:r>
      <w:r w:rsidR="00D157E9">
        <w:rPr>
          <w:rFonts w:ascii="Calibri" w:eastAsia="Times New Roman" w:hAnsi="Calibri" w:cs="Times New Roman"/>
          <w:color w:val="000000"/>
        </w:rPr>
        <w:t xml:space="preserve"> on July 16, </w:t>
      </w:r>
      <w:r w:rsidR="009469C6">
        <w:rPr>
          <w:rFonts w:ascii="Calibri" w:eastAsia="Times New Roman" w:hAnsi="Calibri" w:cs="Times New Roman"/>
          <w:color w:val="000000"/>
        </w:rPr>
        <w:t>2015, and</w:t>
      </w:r>
      <w:r w:rsidR="00117FA6">
        <w:rPr>
          <w:rFonts w:ascii="Calibri" w:eastAsia="Times New Roman" w:hAnsi="Calibri" w:cs="Times New Roman"/>
          <w:color w:val="000000"/>
        </w:rPr>
        <w:t xml:space="preserve"> made AVA a subsidiary of</w:t>
      </w:r>
      <w:r w:rsidR="00D157E9">
        <w:rPr>
          <w:rFonts w:ascii="Calibri" w:eastAsia="Times New Roman" w:hAnsi="Calibri" w:cs="Times New Roman"/>
          <w:color w:val="000000"/>
        </w:rPr>
        <w:t xml:space="preserve"> the new </w:t>
      </w:r>
      <w:r w:rsidR="00117FA6">
        <w:rPr>
          <w:rFonts w:ascii="Calibri" w:eastAsia="Times New Roman" w:hAnsi="Calibri" w:cs="Times New Roman"/>
          <w:color w:val="000000"/>
        </w:rPr>
        <w:t>firm</w:t>
      </w:r>
      <w:r w:rsidR="00D157E9">
        <w:rPr>
          <w:rFonts w:ascii="Calibri" w:eastAsia="Times New Roman" w:hAnsi="Calibri" w:cs="Times New Roman"/>
          <w:color w:val="000000"/>
        </w:rPr>
        <w:t>.</w:t>
      </w:r>
      <w:r w:rsidR="00D157E9">
        <w:rPr>
          <w:rStyle w:val="FootnoteReference"/>
          <w:rFonts w:ascii="Calibri" w:eastAsia="Times New Roman" w:hAnsi="Calibri" w:cs="Times New Roman"/>
          <w:color w:val="000000"/>
        </w:rPr>
        <w:footnoteReference w:id="13"/>
      </w:r>
      <w:r w:rsidR="00117FA6">
        <w:rPr>
          <w:rFonts w:ascii="Calibri" w:eastAsia="Times New Roman" w:hAnsi="Calibri" w:cs="Times New Roman"/>
          <w:color w:val="000000"/>
        </w:rPr>
        <w:t xml:space="preserve">  FlipSwitch Inc. </w:t>
      </w:r>
      <w:r>
        <w:rPr>
          <w:rFonts w:ascii="Calibri" w:eastAsia="Times New Roman" w:hAnsi="Calibri" w:cs="Times New Roman"/>
          <w:color w:val="000000"/>
        </w:rPr>
        <w:t xml:space="preserve">was </w:t>
      </w:r>
      <w:r w:rsidR="00BD5A76">
        <w:rPr>
          <w:rFonts w:ascii="Calibri" w:eastAsia="Times New Roman" w:hAnsi="Calibri" w:cs="Times New Roman"/>
          <w:color w:val="000000"/>
        </w:rPr>
        <w:t xml:space="preserve">then </w:t>
      </w:r>
      <w:r>
        <w:rPr>
          <w:rFonts w:ascii="Calibri" w:eastAsia="Times New Roman" w:hAnsi="Calibri" w:cs="Times New Roman"/>
          <w:color w:val="000000"/>
        </w:rPr>
        <w:t xml:space="preserve">contracted by AVA to provide software licensing for $13.4 million </w:t>
      </w:r>
      <w:r w:rsidR="00BD5A76">
        <w:rPr>
          <w:rFonts w:ascii="Calibri" w:eastAsia="Times New Roman" w:hAnsi="Calibri" w:cs="Times New Roman"/>
          <w:color w:val="000000"/>
        </w:rPr>
        <w:t>with</w:t>
      </w:r>
      <w:r>
        <w:rPr>
          <w:rFonts w:ascii="Calibri" w:eastAsia="Times New Roman" w:hAnsi="Calibri" w:cs="Times New Roman"/>
          <w:color w:val="000000"/>
        </w:rPr>
        <w:t xml:space="preserve"> an additional $2.5 mil</w:t>
      </w:r>
      <w:r w:rsidR="008B1848">
        <w:rPr>
          <w:rFonts w:ascii="Calibri" w:eastAsia="Times New Roman" w:hAnsi="Calibri" w:cs="Times New Roman"/>
          <w:color w:val="000000"/>
        </w:rPr>
        <w:t>lion for support</w:t>
      </w:r>
      <w:r w:rsidR="00F233E6">
        <w:rPr>
          <w:rFonts w:ascii="Calibri" w:eastAsia="Times New Roman" w:hAnsi="Calibri" w:cs="Times New Roman"/>
          <w:color w:val="000000"/>
        </w:rPr>
        <w:t xml:space="preserve"> services</w:t>
      </w:r>
      <w:r w:rsidR="007B1A0B">
        <w:rPr>
          <w:rFonts w:ascii="Calibri" w:eastAsia="Times New Roman" w:hAnsi="Calibri" w:cs="Times New Roman"/>
          <w:color w:val="000000"/>
        </w:rPr>
        <w:t xml:space="preserve"> in 2016.</w:t>
      </w:r>
      <w:r w:rsidR="008B1848">
        <w:rPr>
          <w:rFonts w:ascii="Calibri" w:eastAsia="Times New Roman" w:hAnsi="Calibri" w:cs="Times New Roman"/>
          <w:color w:val="000000"/>
        </w:rPr>
        <w:t xml:space="preserve">  Despite almost $16</w:t>
      </w:r>
      <w:r w:rsidR="00DF2BEA">
        <w:rPr>
          <w:rFonts w:ascii="Calibri" w:eastAsia="Times New Roman" w:hAnsi="Calibri" w:cs="Times New Roman"/>
          <w:color w:val="000000"/>
        </w:rPr>
        <w:t xml:space="preserve"> million diverted to FlipSwitch Inc. </w:t>
      </w:r>
      <w:r w:rsidR="008B1848">
        <w:rPr>
          <w:rFonts w:ascii="Calibri" w:eastAsia="Times New Roman" w:hAnsi="Calibri" w:cs="Times New Roman"/>
          <w:color w:val="000000"/>
        </w:rPr>
        <w:t xml:space="preserve"> AVA made a clear profit of $10 million in 2016.  The profits</w:t>
      </w:r>
      <w:r w:rsidR="00DF2BEA">
        <w:rPr>
          <w:rFonts w:ascii="Calibri" w:eastAsia="Times New Roman" w:hAnsi="Calibri" w:cs="Times New Roman"/>
          <w:color w:val="000000"/>
        </w:rPr>
        <w:t xml:space="preserve"> went</w:t>
      </w:r>
      <w:r w:rsidR="008B1848">
        <w:rPr>
          <w:rFonts w:ascii="Calibri" w:eastAsia="Times New Roman" w:hAnsi="Calibri" w:cs="Times New Roman"/>
          <w:color w:val="000000"/>
        </w:rPr>
        <w:t xml:space="preserve"> to ACA’s only stockholder – Damian Creamer.</w:t>
      </w:r>
      <w:r w:rsidR="00586C48">
        <w:rPr>
          <w:rFonts w:ascii="Calibri" w:eastAsia="Times New Roman" w:hAnsi="Calibri" w:cs="Times New Roman"/>
          <w:color w:val="000000"/>
        </w:rPr>
        <w:t xml:space="preserve"> See Table 5.</w:t>
      </w:r>
    </w:p>
    <w:p w14:paraId="7925FC08" w14:textId="77777777" w:rsidR="00EB44EF" w:rsidRDefault="00EB44EF" w:rsidP="00932B15">
      <w:pPr>
        <w:rPr>
          <w:rFonts w:ascii="Calibri" w:eastAsia="Times New Roman" w:hAnsi="Calibri" w:cs="Times New Roman"/>
          <w:color w:val="000000"/>
        </w:rPr>
      </w:pPr>
    </w:p>
    <w:p w14:paraId="2CBFF7E0" w14:textId="310B7E5C" w:rsidR="001B6934" w:rsidRPr="00B252F6" w:rsidRDefault="001B6934" w:rsidP="00FE5C26">
      <w:pPr>
        <w:rPr>
          <w:rFonts w:ascii="Calibri" w:eastAsia="Times New Roman" w:hAnsi="Calibri" w:cs="Times New Roman"/>
          <w:color w:val="000000"/>
          <w:sz w:val="22"/>
          <w:szCs w:val="22"/>
        </w:rPr>
      </w:pPr>
      <w:r w:rsidRPr="00B252F6">
        <w:rPr>
          <w:rFonts w:ascii="Calibri" w:eastAsia="Times New Roman" w:hAnsi="Calibri" w:cs="Times New Roman"/>
          <w:b/>
          <w:color w:val="000000"/>
          <w:sz w:val="22"/>
          <w:szCs w:val="22"/>
        </w:rPr>
        <w:t>Table 5</w:t>
      </w:r>
      <w:r w:rsidRPr="00B252F6">
        <w:rPr>
          <w:rFonts w:ascii="Calibri" w:eastAsia="Times New Roman" w:hAnsi="Calibri" w:cs="Times New Roman"/>
          <w:color w:val="000000"/>
          <w:sz w:val="22"/>
          <w:szCs w:val="22"/>
        </w:rPr>
        <w:t xml:space="preserve"> </w:t>
      </w:r>
      <w:r w:rsidR="00932B15" w:rsidRPr="00B252F6">
        <w:rPr>
          <w:rFonts w:ascii="Calibri" w:eastAsia="Times New Roman" w:hAnsi="Calibri" w:cs="Times New Roman"/>
          <w:color w:val="000000"/>
          <w:sz w:val="22"/>
          <w:szCs w:val="22"/>
        </w:rPr>
        <w:t xml:space="preserve"> </w:t>
      </w:r>
      <w:r w:rsidRPr="00B252F6">
        <w:rPr>
          <w:rFonts w:ascii="Calibri" w:eastAsia="Times New Roman" w:hAnsi="Calibri" w:cs="Times New Roman"/>
          <w:color w:val="000000"/>
          <w:sz w:val="22"/>
          <w:szCs w:val="22"/>
        </w:rPr>
        <w:t xml:space="preserve">American Virtual Academy </w:t>
      </w:r>
      <w:r w:rsidR="00932B15" w:rsidRPr="00B252F6">
        <w:rPr>
          <w:rFonts w:ascii="Calibri" w:eastAsia="Times New Roman" w:hAnsi="Calibri" w:cs="Times New Roman"/>
          <w:color w:val="000000"/>
          <w:sz w:val="22"/>
          <w:szCs w:val="22"/>
        </w:rPr>
        <w:t>finances - 2016</w:t>
      </w:r>
    </w:p>
    <w:tbl>
      <w:tblPr>
        <w:tblW w:w="3977" w:type="dxa"/>
        <w:tblInd w:w="93" w:type="dxa"/>
        <w:tblLayout w:type="fixed"/>
        <w:tblLook w:val="04A0" w:firstRow="1" w:lastRow="0" w:firstColumn="1" w:lastColumn="0" w:noHBand="0" w:noVBand="1"/>
      </w:tblPr>
      <w:tblGrid>
        <w:gridCol w:w="2503"/>
        <w:gridCol w:w="1474"/>
      </w:tblGrid>
      <w:tr w:rsidR="001B6934" w:rsidRPr="001B6934" w14:paraId="0DD8DA1A" w14:textId="77777777" w:rsidTr="00932B15">
        <w:trPr>
          <w:trHeight w:val="306"/>
        </w:trPr>
        <w:tc>
          <w:tcPr>
            <w:tcW w:w="2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5ED01" w14:textId="77777777" w:rsidR="001B6934" w:rsidRPr="00932B15" w:rsidRDefault="001B6934" w:rsidP="001B6934">
            <w:pPr>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lastRenderedPageBreak/>
              <w:t> </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1D4226D7" w14:textId="77777777" w:rsidR="001B6934" w:rsidRPr="00932B15" w:rsidRDefault="001B6934" w:rsidP="001B6934">
            <w:pPr>
              <w:jc w:val="right"/>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2016</w:t>
            </w:r>
          </w:p>
        </w:tc>
      </w:tr>
      <w:tr w:rsidR="001B6934" w:rsidRPr="001B6934" w14:paraId="75943B82" w14:textId="77777777" w:rsidTr="00932B15">
        <w:trPr>
          <w:trHeight w:val="306"/>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14:paraId="5333E2AC" w14:textId="77777777" w:rsidR="001B6934" w:rsidRPr="00932B15" w:rsidRDefault="001B6934" w:rsidP="001B6934">
            <w:pPr>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Total Revenue</w:t>
            </w:r>
          </w:p>
        </w:tc>
        <w:tc>
          <w:tcPr>
            <w:tcW w:w="1474" w:type="dxa"/>
            <w:tcBorders>
              <w:top w:val="nil"/>
              <w:left w:val="nil"/>
              <w:bottom w:val="single" w:sz="4" w:space="0" w:color="auto"/>
              <w:right w:val="single" w:sz="4" w:space="0" w:color="auto"/>
            </w:tcBorders>
            <w:shd w:val="clear" w:color="auto" w:fill="auto"/>
            <w:noWrap/>
            <w:vAlign w:val="bottom"/>
            <w:hideMark/>
          </w:tcPr>
          <w:p w14:paraId="088BC86A" w14:textId="77777777" w:rsidR="001B6934" w:rsidRPr="00932B15" w:rsidRDefault="001B6934" w:rsidP="001B6934">
            <w:pPr>
              <w:jc w:val="right"/>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$40,680,433</w:t>
            </w:r>
          </w:p>
        </w:tc>
      </w:tr>
      <w:tr w:rsidR="001B6934" w:rsidRPr="001B6934" w14:paraId="6C5FDAB3" w14:textId="77777777" w:rsidTr="00932B15">
        <w:trPr>
          <w:trHeight w:val="306"/>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14:paraId="52BBE27C" w14:textId="77777777" w:rsidR="001B6934" w:rsidRPr="00932B15" w:rsidRDefault="001B6934" w:rsidP="001B6934">
            <w:pPr>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Total Expenditures</w:t>
            </w:r>
          </w:p>
        </w:tc>
        <w:tc>
          <w:tcPr>
            <w:tcW w:w="1474" w:type="dxa"/>
            <w:tcBorders>
              <w:top w:val="nil"/>
              <w:left w:val="nil"/>
              <w:bottom w:val="single" w:sz="4" w:space="0" w:color="auto"/>
              <w:right w:val="single" w:sz="4" w:space="0" w:color="auto"/>
            </w:tcBorders>
            <w:shd w:val="clear" w:color="auto" w:fill="auto"/>
            <w:noWrap/>
            <w:vAlign w:val="bottom"/>
            <w:hideMark/>
          </w:tcPr>
          <w:p w14:paraId="0CEC9D6B" w14:textId="77777777" w:rsidR="001B6934" w:rsidRPr="00932B15" w:rsidRDefault="001B6934" w:rsidP="001B6934">
            <w:pPr>
              <w:jc w:val="right"/>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$30,533,571</w:t>
            </w:r>
          </w:p>
        </w:tc>
      </w:tr>
      <w:tr w:rsidR="001B6934" w:rsidRPr="001B6934" w14:paraId="468CC7FF" w14:textId="77777777" w:rsidTr="00932B15">
        <w:trPr>
          <w:trHeight w:val="306"/>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14:paraId="3455F426" w14:textId="3917A375" w:rsidR="001B6934" w:rsidRPr="00932B15" w:rsidRDefault="001B6934" w:rsidP="00563D8C">
            <w:pPr>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 xml:space="preserve">Net </w:t>
            </w:r>
            <w:r w:rsidR="00563D8C">
              <w:rPr>
                <w:rFonts w:ascii="Calibri" w:eastAsia="Times New Roman" w:hAnsi="Calibri" w:cs="Times New Roman"/>
                <w:color w:val="000000"/>
                <w:sz w:val="22"/>
                <w:szCs w:val="22"/>
              </w:rPr>
              <w:t>profit</w:t>
            </w:r>
          </w:p>
        </w:tc>
        <w:tc>
          <w:tcPr>
            <w:tcW w:w="1474" w:type="dxa"/>
            <w:tcBorders>
              <w:top w:val="nil"/>
              <w:left w:val="nil"/>
              <w:bottom w:val="single" w:sz="4" w:space="0" w:color="auto"/>
              <w:right w:val="single" w:sz="4" w:space="0" w:color="auto"/>
            </w:tcBorders>
            <w:shd w:val="clear" w:color="auto" w:fill="auto"/>
            <w:noWrap/>
            <w:vAlign w:val="bottom"/>
            <w:hideMark/>
          </w:tcPr>
          <w:p w14:paraId="608417AA" w14:textId="77777777" w:rsidR="001B6934" w:rsidRPr="00932B15" w:rsidRDefault="001B6934" w:rsidP="001B6934">
            <w:pPr>
              <w:jc w:val="right"/>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$10,136,315</w:t>
            </w:r>
          </w:p>
        </w:tc>
      </w:tr>
      <w:tr w:rsidR="001B6934" w:rsidRPr="001B6934" w14:paraId="117D6154" w14:textId="77777777" w:rsidTr="00932B15">
        <w:trPr>
          <w:trHeight w:val="306"/>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14:paraId="21E1696A" w14:textId="77777777" w:rsidR="001B6934" w:rsidRPr="00932B15" w:rsidRDefault="001B6934" w:rsidP="001B6934">
            <w:pPr>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Lease Payment to PTLC</w:t>
            </w:r>
          </w:p>
        </w:tc>
        <w:tc>
          <w:tcPr>
            <w:tcW w:w="1474" w:type="dxa"/>
            <w:tcBorders>
              <w:top w:val="nil"/>
              <w:left w:val="nil"/>
              <w:bottom w:val="single" w:sz="4" w:space="0" w:color="auto"/>
              <w:right w:val="single" w:sz="4" w:space="0" w:color="auto"/>
            </w:tcBorders>
            <w:shd w:val="clear" w:color="auto" w:fill="auto"/>
            <w:noWrap/>
            <w:vAlign w:val="bottom"/>
            <w:hideMark/>
          </w:tcPr>
          <w:p w14:paraId="5F95D0F0" w14:textId="77777777" w:rsidR="001B6934" w:rsidRPr="00932B15" w:rsidRDefault="001B6934" w:rsidP="001B6934">
            <w:pPr>
              <w:jc w:val="right"/>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$333,616</w:t>
            </w:r>
          </w:p>
        </w:tc>
      </w:tr>
      <w:tr w:rsidR="001B6934" w:rsidRPr="001B6934" w14:paraId="7B63D98B" w14:textId="77777777" w:rsidTr="00932B15">
        <w:trPr>
          <w:trHeight w:val="306"/>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14:paraId="120B9AB3" w14:textId="07DA72D0" w:rsidR="001B6934" w:rsidRPr="00932B15" w:rsidRDefault="001B6934" w:rsidP="001B6934">
            <w:pPr>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Fee</w:t>
            </w:r>
            <w:r w:rsidR="00932B15" w:rsidRPr="00932B15">
              <w:rPr>
                <w:rFonts w:ascii="Calibri" w:eastAsia="Times New Roman" w:hAnsi="Calibri" w:cs="Times New Roman"/>
                <w:color w:val="000000"/>
                <w:sz w:val="22"/>
                <w:szCs w:val="22"/>
              </w:rPr>
              <w:t>s</w:t>
            </w:r>
            <w:r w:rsidRPr="00932B15">
              <w:rPr>
                <w:rFonts w:ascii="Calibri" w:eastAsia="Times New Roman" w:hAnsi="Calibri" w:cs="Times New Roman"/>
                <w:color w:val="000000"/>
                <w:sz w:val="22"/>
                <w:szCs w:val="22"/>
              </w:rPr>
              <w:t xml:space="preserve"> to AVA</w:t>
            </w:r>
          </w:p>
        </w:tc>
        <w:tc>
          <w:tcPr>
            <w:tcW w:w="1474" w:type="dxa"/>
            <w:tcBorders>
              <w:top w:val="nil"/>
              <w:left w:val="nil"/>
              <w:bottom w:val="single" w:sz="4" w:space="0" w:color="auto"/>
              <w:right w:val="single" w:sz="4" w:space="0" w:color="auto"/>
            </w:tcBorders>
            <w:shd w:val="clear" w:color="auto" w:fill="auto"/>
            <w:noWrap/>
            <w:vAlign w:val="bottom"/>
            <w:hideMark/>
          </w:tcPr>
          <w:p w14:paraId="623A8DEE" w14:textId="77777777" w:rsidR="001B6934" w:rsidRPr="00932B15" w:rsidRDefault="001B6934" w:rsidP="001B6934">
            <w:pPr>
              <w:jc w:val="right"/>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$13,427,502</w:t>
            </w:r>
          </w:p>
        </w:tc>
      </w:tr>
      <w:tr w:rsidR="001B6934" w:rsidRPr="001B6934" w14:paraId="28E0126B" w14:textId="77777777" w:rsidTr="00932B15">
        <w:trPr>
          <w:trHeight w:val="306"/>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14:paraId="409DB3E4" w14:textId="77777777" w:rsidR="001B6934" w:rsidRPr="00932B15" w:rsidRDefault="001B6934" w:rsidP="001B6934">
            <w:pPr>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Advertising</w:t>
            </w:r>
          </w:p>
        </w:tc>
        <w:tc>
          <w:tcPr>
            <w:tcW w:w="1474" w:type="dxa"/>
            <w:tcBorders>
              <w:top w:val="nil"/>
              <w:left w:val="nil"/>
              <w:bottom w:val="single" w:sz="4" w:space="0" w:color="auto"/>
              <w:right w:val="single" w:sz="4" w:space="0" w:color="auto"/>
            </w:tcBorders>
            <w:shd w:val="clear" w:color="auto" w:fill="auto"/>
            <w:noWrap/>
            <w:vAlign w:val="bottom"/>
            <w:hideMark/>
          </w:tcPr>
          <w:p w14:paraId="7D0AF82F" w14:textId="77777777" w:rsidR="001B6934" w:rsidRPr="00932B15" w:rsidRDefault="001B6934" w:rsidP="001B6934">
            <w:pPr>
              <w:jc w:val="right"/>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$3,679,242</w:t>
            </w:r>
          </w:p>
        </w:tc>
      </w:tr>
      <w:tr w:rsidR="001B6934" w:rsidRPr="001B6934" w14:paraId="1C1CBA26" w14:textId="77777777" w:rsidTr="00932B15">
        <w:trPr>
          <w:trHeight w:val="306"/>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14:paraId="372F69B7" w14:textId="77777777" w:rsidR="001B6934" w:rsidRPr="00932B15" w:rsidRDefault="001B6934" w:rsidP="001B6934">
            <w:pPr>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AVA support services</w:t>
            </w:r>
          </w:p>
        </w:tc>
        <w:tc>
          <w:tcPr>
            <w:tcW w:w="1474" w:type="dxa"/>
            <w:tcBorders>
              <w:top w:val="nil"/>
              <w:left w:val="nil"/>
              <w:bottom w:val="single" w:sz="4" w:space="0" w:color="auto"/>
              <w:right w:val="single" w:sz="4" w:space="0" w:color="auto"/>
            </w:tcBorders>
            <w:shd w:val="clear" w:color="auto" w:fill="auto"/>
            <w:noWrap/>
            <w:vAlign w:val="bottom"/>
            <w:hideMark/>
          </w:tcPr>
          <w:p w14:paraId="30F758F7" w14:textId="77777777" w:rsidR="001B6934" w:rsidRPr="00932B15" w:rsidRDefault="001B6934" w:rsidP="001B6934">
            <w:pPr>
              <w:jc w:val="right"/>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$2,531,471</w:t>
            </w:r>
          </w:p>
        </w:tc>
      </w:tr>
      <w:tr w:rsidR="00932B15" w:rsidRPr="001B6934" w14:paraId="11D2CD3E" w14:textId="77777777" w:rsidTr="00932B15">
        <w:trPr>
          <w:trHeight w:val="306"/>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14:paraId="151E030C" w14:textId="46EC1565" w:rsidR="00932B15" w:rsidRPr="00932B15" w:rsidRDefault="00932B15" w:rsidP="001B6934">
            <w:pPr>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Property and equipment</w:t>
            </w:r>
          </w:p>
        </w:tc>
        <w:tc>
          <w:tcPr>
            <w:tcW w:w="1474" w:type="dxa"/>
            <w:tcBorders>
              <w:top w:val="nil"/>
              <w:left w:val="nil"/>
              <w:bottom w:val="single" w:sz="4" w:space="0" w:color="auto"/>
              <w:right w:val="single" w:sz="4" w:space="0" w:color="auto"/>
            </w:tcBorders>
            <w:shd w:val="clear" w:color="auto" w:fill="auto"/>
            <w:noWrap/>
            <w:vAlign w:val="bottom"/>
            <w:hideMark/>
          </w:tcPr>
          <w:p w14:paraId="3B67A286" w14:textId="43BEE2FD" w:rsidR="00932B15" w:rsidRPr="00932B15" w:rsidRDefault="00932B15" w:rsidP="001B6934">
            <w:pPr>
              <w:jc w:val="right"/>
              <w:rPr>
                <w:rFonts w:ascii="Calibri" w:eastAsia="Times New Roman" w:hAnsi="Calibri" w:cs="Times New Roman"/>
                <w:color w:val="000000"/>
                <w:sz w:val="22"/>
                <w:szCs w:val="22"/>
              </w:rPr>
            </w:pPr>
            <w:r w:rsidRPr="00932B15">
              <w:rPr>
                <w:rFonts w:ascii="Calibri" w:eastAsia="Times New Roman" w:hAnsi="Calibri" w:cs="Times New Roman"/>
                <w:color w:val="000000"/>
                <w:sz w:val="22"/>
                <w:szCs w:val="22"/>
              </w:rPr>
              <w:t>$381,093.00</w:t>
            </w:r>
          </w:p>
        </w:tc>
      </w:tr>
    </w:tbl>
    <w:p w14:paraId="5AE69FA3" w14:textId="77777777" w:rsidR="00563D8C" w:rsidRDefault="00563D8C" w:rsidP="00AE3ED2">
      <w:pPr>
        <w:rPr>
          <w:rFonts w:ascii="Calibri" w:eastAsia="Times New Roman" w:hAnsi="Calibri" w:cs="Times New Roman"/>
          <w:color w:val="000000"/>
        </w:rPr>
      </w:pPr>
    </w:p>
    <w:p w14:paraId="0A63FAA3" w14:textId="75A5DFE0" w:rsidR="00AE3ED2" w:rsidRDefault="00AE3ED2" w:rsidP="00AE3ED2">
      <w:pPr>
        <w:rPr>
          <w:rFonts w:ascii="Calibri" w:eastAsia="Times New Roman" w:hAnsi="Calibri" w:cs="Times New Roman"/>
          <w:color w:val="000000"/>
        </w:rPr>
      </w:pPr>
      <w:r>
        <w:rPr>
          <w:rFonts w:ascii="Calibri" w:eastAsia="Times New Roman" w:hAnsi="Calibri" w:cs="Times New Roman"/>
          <w:color w:val="000000"/>
        </w:rPr>
        <w:t xml:space="preserve">While the Board of PTLC feared declining revenues, AVA had an increase of $8 million in revenues in 2016.  Profits went from $776,400 in 2015 to over $10 million in 2016.  It looks like PTLC made a bad decision in giving Primavera away.  </w:t>
      </w:r>
    </w:p>
    <w:p w14:paraId="0B7C6366" w14:textId="77777777" w:rsidR="009A1A18" w:rsidRDefault="009A1A18" w:rsidP="00AE3ED2">
      <w:pPr>
        <w:rPr>
          <w:rFonts w:ascii="Calibri" w:eastAsia="Times New Roman" w:hAnsi="Calibri" w:cs="Times New Roman"/>
          <w:color w:val="000000"/>
        </w:rPr>
      </w:pPr>
    </w:p>
    <w:p w14:paraId="531572D6" w14:textId="15AF6934" w:rsidR="009A1A18" w:rsidRDefault="009A1A18" w:rsidP="009A1A18">
      <w:pPr>
        <w:rPr>
          <w:rFonts w:ascii="Calibri" w:eastAsia="Times New Roman" w:hAnsi="Calibri" w:cs="Times New Roman"/>
          <w:color w:val="000000"/>
        </w:rPr>
      </w:pPr>
      <w:r>
        <w:rPr>
          <w:rFonts w:ascii="Calibri" w:eastAsia="Times New Roman" w:hAnsi="Calibri" w:cs="Times New Roman"/>
          <w:color w:val="000000"/>
        </w:rPr>
        <w:t xml:space="preserve">Damian Creamer now has a new business.  In 2016 FlipSwitch Inc. changed their name to StrongMind and is selling the software created for Primavera around the U.S.  Inspire Charter Schools now uses SoundMind </w:t>
      </w:r>
      <w:r w:rsidR="0042398A">
        <w:rPr>
          <w:rFonts w:ascii="Calibri" w:eastAsia="Times New Roman" w:hAnsi="Calibri" w:cs="Times New Roman"/>
          <w:color w:val="000000"/>
        </w:rPr>
        <w:t xml:space="preserve">software </w:t>
      </w:r>
      <w:r>
        <w:rPr>
          <w:rFonts w:ascii="Calibri" w:eastAsia="Times New Roman" w:hAnsi="Calibri" w:cs="Times New Roman"/>
          <w:color w:val="000000"/>
        </w:rPr>
        <w:t>in its virtual charter schools in 20 counties in California.</w:t>
      </w:r>
      <w:r>
        <w:rPr>
          <w:rStyle w:val="FootnoteReference"/>
          <w:rFonts w:ascii="Calibri" w:eastAsia="Times New Roman" w:hAnsi="Calibri" w:cs="Times New Roman"/>
          <w:color w:val="000000"/>
        </w:rPr>
        <w:footnoteReference w:id="14"/>
      </w:r>
      <w:r>
        <w:rPr>
          <w:rFonts w:ascii="Calibri" w:eastAsia="Times New Roman" w:hAnsi="Calibri" w:cs="Times New Roman"/>
          <w:color w:val="000000"/>
        </w:rPr>
        <w:t xml:space="preserve">  iSucceed Virtual High School in Idaho has also purchased StrongMind.</w:t>
      </w:r>
      <w:r>
        <w:rPr>
          <w:rStyle w:val="FootnoteReference"/>
          <w:rFonts w:ascii="Calibri" w:eastAsia="Times New Roman" w:hAnsi="Calibri" w:cs="Times New Roman"/>
          <w:color w:val="000000"/>
        </w:rPr>
        <w:footnoteReference w:id="15"/>
      </w:r>
    </w:p>
    <w:p w14:paraId="3892E667" w14:textId="77777777" w:rsidR="00AE3ED2" w:rsidRDefault="00AE3ED2" w:rsidP="00AE3ED2">
      <w:pPr>
        <w:rPr>
          <w:rFonts w:ascii="Calibri" w:eastAsia="Times New Roman" w:hAnsi="Calibri" w:cs="Times New Roman"/>
          <w:color w:val="000000"/>
        </w:rPr>
      </w:pPr>
    </w:p>
    <w:p w14:paraId="769DD72E" w14:textId="251CECAC" w:rsidR="00AE3ED2" w:rsidRDefault="00AE3ED2" w:rsidP="00AE3ED2">
      <w:pPr>
        <w:rPr>
          <w:rFonts w:ascii="Calibri" w:eastAsia="Times New Roman" w:hAnsi="Calibri" w:cs="Times New Roman"/>
          <w:color w:val="000000"/>
        </w:rPr>
      </w:pPr>
      <w:r>
        <w:rPr>
          <w:rFonts w:ascii="Calibri" w:eastAsia="Times New Roman" w:hAnsi="Calibri" w:cs="Times New Roman"/>
          <w:color w:val="000000"/>
        </w:rPr>
        <w:t>PTLC is still in the picture though.  The real estate PTLC purchased is now providing facilities for AVA and FlipSwitch Inc.</w:t>
      </w:r>
      <w:r w:rsidR="009A1A18">
        <w:rPr>
          <w:rFonts w:ascii="Calibri" w:eastAsia="Times New Roman" w:hAnsi="Calibri" w:cs="Times New Roman"/>
          <w:color w:val="000000"/>
        </w:rPr>
        <w:t xml:space="preserve"> and now SoundMind. </w:t>
      </w:r>
      <w:r>
        <w:rPr>
          <w:rStyle w:val="FootnoteReference"/>
          <w:rFonts w:ascii="Calibri" w:eastAsia="Times New Roman" w:hAnsi="Calibri" w:cs="Times New Roman"/>
          <w:color w:val="000000"/>
        </w:rPr>
        <w:footnoteReference w:id="16"/>
      </w:r>
      <w:r>
        <w:rPr>
          <w:rFonts w:ascii="Calibri" w:eastAsia="Times New Roman" w:hAnsi="Calibri" w:cs="Times New Roman"/>
          <w:color w:val="000000"/>
        </w:rPr>
        <w:t xml:space="preserve">  AVA paid PTLC $333,616 to lease their facilities on 2471, 2451, and 2501 North Arizona Avenue in Chandler, AZ. in 2016. </w:t>
      </w:r>
    </w:p>
    <w:p w14:paraId="19B22C1B" w14:textId="77777777" w:rsidR="00AE3ED2" w:rsidRDefault="00AE3ED2" w:rsidP="00AE3ED2">
      <w:pPr>
        <w:rPr>
          <w:rFonts w:ascii="Calibri" w:eastAsia="Times New Roman" w:hAnsi="Calibri" w:cs="Times New Roman"/>
          <w:color w:val="000000"/>
        </w:rPr>
      </w:pPr>
    </w:p>
    <w:p w14:paraId="25C63834" w14:textId="213A34EC" w:rsidR="00F233E6" w:rsidRPr="00C74404" w:rsidRDefault="00F233E6" w:rsidP="00FE5C26">
      <w:pPr>
        <w:rPr>
          <w:rFonts w:ascii="Calibri" w:eastAsia="Times New Roman" w:hAnsi="Calibri" w:cs="Times New Roman"/>
          <w:b/>
          <w:color w:val="000000"/>
          <w:sz w:val="28"/>
          <w:szCs w:val="28"/>
        </w:rPr>
      </w:pPr>
      <w:r w:rsidRPr="00C74404">
        <w:rPr>
          <w:rFonts w:ascii="Calibri" w:eastAsia="Times New Roman" w:hAnsi="Calibri" w:cs="Times New Roman"/>
          <w:b/>
          <w:color w:val="000000"/>
          <w:sz w:val="28"/>
          <w:szCs w:val="28"/>
        </w:rPr>
        <w:t>Conclusion</w:t>
      </w:r>
      <w:r w:rsidR="00C74404">
        <w:rPr>
          <w:rFonts w:ascii="Calibri" w:eastAsia="Times New Roman" w:hAnsi="Calibri" w:cs="Times New Roman"/>
          <w:b/>
          <w:color w:val="000000"/>
          <w:sz w:val="28"/>
          <w:szCs w:val="28"/>
        </w:rPr>
        <w:t>s</w:t>
      </w:r>
      <w:r w:rsidRPr="00C74404">
        <w:rPr>
          <w:rFonts w:ascii="Calibri" w:eastAsia="Times New Roman" w:hAnsi="Calibri" w:cs="Times New Roman"/>
          <w:b/>
          <w:color w:val="000000"/>
          <w:sz w:val="28"/>
          <w:szCs w:val="28"/>
        </w:rPr>
        <w:t>:</w:t>
      </w:r>
    </w:p>
    <w:p w14:paraId="623A8B2C" w14:textId="0C72A1AD" w:rsidR="002F233C" w:rsidRDefault="00A033C7" w:rsidP="00FE5C26">
      <w:pPr>
        <w:rPr>
          <w:rFonts w:ascii="Calibri" w:eastAsia="Times New Roman" w:hAnsi="Calibri" w:cs="Times New Roman"/>
          <w:color w:val="000000"/>
        </w:rPr>
      </w:pPr>
      <w:r>
        <w:rPr>
          <w:rFonts w:ascii="Calibri" w:eastAsia="Times New Roman" w:hAnsi="Calibri" w:cs="Times New Roman"/>
          <w:color w:val="000000"/>
        </w:rPr>
        <w:t xml:space="preserve">The </w:t>
      </w:r>
      <w:r w:rsidR="00BD5A76">
        <w:rPr>
          <w:rFonts w:ascii="Calibri" w:eastAsia="Times New Roman" w:hAnsi="Calibri" w:cs="Times New Roman"/>
          <w:color w:val="000000"/>
        </w:rPr>
        <w:t>reality</w:t>
      </w:r>
      <w:r>
        <w:rPr>
          <w:rFonts w:ascii="Calibri" w:eastAsia="Times New Roman" w:hAnsi="Calibri" w:cs="Times New Roman"/>
          <w:color w:val="000000"/>
        </w:rPr>
        <w:t xml:space="preserve"> is this:  Damian Creamer built two for-profit software companies, A</w:t>
      </w:r>
      <w:r w:rsidR="00117FA6">
        <w:rPr>
          <w:rFonts w:ascii="Calibri" w:eastAsia="Times New Roman" w:hAnsi="Calibri" w:cs="Times New Roman"/>
          <w:color w:val="000000"/>
        </w:rPr>
        <w:t>merican Virtual Academy</w:t>
      </w:r>
      <w:r>
        <w:rPr>
          <w:rFonts w:ascii="Calibri" w:eastAsia="Times New Roman" w:hAnsi="Calibri" w:cs="Times New Roman"/>
          <w:color w:val="000000"/>
        </w:rPr>
        <w:t xml:space="preserve"> and FlipSwitch </w:t>
      </w:r>
      <w:r w:rsidR="00BD5A76">
        <w:rPr>
          <w:rFonts w:ascii="Calibri" w:eastAsia="Times New Roman" w:hAnsi="Calibri" w:cs="Times New Roman"/>
          <w:color w:val="000000"/>
        </w:rPr>
        <w:t>Inc. with $84</w:t>
      </w:r>
      <w:r>
        <w:rPr>
          <w:rFonts w:ascii="Calibri" w:eastAsia="Times New Roman" w:hAnsi="Calibri" w:cs="Times New Roman"/>
          <w:color w:val="000000"/>
        </w:rPr>
        <w:t xml:space="preserve"> million </w:t>
      </w:r>
      <w:r w:rsidR="00F233E6">
        <w:rPr>
          <w:rFonts w:ascii="Calibri" w:eastAsia="Times New Roman" w:hAnsi="Calibri" w:cs="Times New Roman"/>
          <w:color w:val="000000"/>
        </w:rPr>
        <w:t xml:space="preserve">in licensing fees paid by PTLC from 2009 to </w:t>
      </w:r>
      <w:r>
        <w:rPr>
          <w:rFonts w:ascii="Calibri" w:eastAsia="Times New Roman" w:hAnsi="Calibri" w:cs="Times New Roman"/>
          <w:color w:val="000000"/>
        </w:rPr>
        <w:t xml:space="preserve">2015.  </w:t>
      </w:r>
      <w:r w:rsidR="00F233E6">
        <w:rPr>
          <w:rFonts w:ascii="Calibri" w:eastAsia="Times New Roman" w:hAnsi="Calibri" w:cs="Times New Roman"/>
          <w:color w:val="000000"/>
        </w:rPr>
        <w:t xml:space="preserve">$84 million in tax funds.  </w:t>
      </w:r>
      <w:r w:rsidR="00117FA6">
        <w:rPr>
          <w:rFonts w:ascii="Calibri" w:eastAsia="Times New Roman" w:hAnsi="Calibri" w:cs="Times New Roman"/>
          <w:color w:val="000000"/>
        </w:rPr>
        <w:t xml:space="preserve"> </w:t>
      </w:r>
      <w:r>
        <w:rPr>
          <w:rFonts w:ascii="Calibri" w:eastAsia="Times New Roman" w:hAnsi="Calibri" w:cs="Times New Roman"/>
          <w:color w:val="000000"/>
        </w:rPr>
        <w:t xml:space="preserve">To put it in perspective, a new Boeing 737 costs $78 million.  </w:t>
      </w:r>
    </w:p>
    <w:p w14:paraId="7AF9F611" w14:textId="77777777" w:rsidR="002F233C" w:rsidRDefault="002F233C" w:rsidP="00FE5C26">
      <w:pPr>
        <w:rPr>
          <w:rFonts w:ascii="Calibri" w:eastAsia="Times New Roman" w:hAnsi="Calibri" w:cs="Times New Roman"/>
          <w:color w:val="000000"/>
        </w:rPr>
      </w:pPr>
    </w:p>
    <w:p w14:paraId="3078834F" w14:textId="77777777" w:rsidR="0042398A" w:rsidRDefault="0042398A" w:rsidP="0042398A">
      <w:pPr>
        <w:rPr>
          <w:rFonts w:ascii="Calibri" w:eastAsia="Times New Roman" w:hAnsi="Calibri" w:cs="Times New Roman"/>
          <w:color w:val="000000"/>
        </w:rPr>
      </w:pPr>
      <w:r>
        <w:rPr>
          <w:rFonts w:ascii="Calibri" w:eastAsia="Times New Roman" w:hAnsi="Calibri" w:cs="Times New Roman"/>
          <w:color w:val="000000"/>
        </w:rPr>
        <w:t>A better comparison is Mesa Distance Learning (MDL), an online school in the public Mesa Unified School District.  MDL paid $581,000 to develop software for their online program in 1998.  Mesa pays only pays for maintenance, improvements and additions to the online courseware they developed.  Officials at Mesa Unified School District estimate that it costs about $760,000 a year to update and maintain their online program</w:t>
      </w:r>
      <w:r>
        <w:rPr>
          <w:rFonts w:eastAsia="Times New Roman" w:cs="Times New Roman"/>
        </w:rPr>
        <w:t xml:space="preserve">.  The estimate is based on the salaries for content specialists (developers), administrator, and programmer, and additional stipends paid to online teachers for curriculum development.  </w:t>
      </w:r>
      <w:r>
        <w:rPr>
          <w:rFonts w:ascii="Calibri" w:eastAsia="Times New Roman" w:hAnsi="Calibri" w:cs="Times New Roman"/>
          <w:color w:val="000000"/>
        </w:rPr>
        <w:t>Mesa Distance Learning offers a complete K-12 curriculum while AVA is only available for grades 6-12.  All of the high school semester courses at MDL are designed for 90 hours of instruction.  Since AVA is an alternative school, their semester courses provide only 30 hours of instruction.  Mesa Distance Learning serves six more grade levels and offers three times the instructional time per semester as AVA.</w:t>
      </w:r>
    </w:p>
    <w:p w14:paraId="1A52364F" w14:textId="77777777" w:rsidR="0042398A" w:rsidRDefault="0042398A" w:rsidP="0042398A">
      <w:pPr>
        <w:rPr>
          <w:rFonts w:ascii="Calibri" w:eastAsia="Times New Roman" w:hAnsi="Calibri" w:cs="Times New Roman"/>
          <w:color w:val="000000"/>
        </w:rPr>
      </w:pPr>
    </w:p>
    <w:p w14:paraId="5EFA288C" w14:textId="6A07BD7E" w:rsidR="0042398A" w:rsidRDefault="0042398A" w:rsidP="0042398A">
      <w:pPr>
        <w:rPr>
          <w:rFonts w:ascii="Calibri" w:eastAsia="Times New Roman" w:hAnsi="Calibri" w:cs="Times New Roman"/>
          <w:color w:val="000000"/>
        </w:rPr>
      </w:pPr>
      <w:r>
        <w:rPr>
          <w:rFonts w:ascii="Calibri" w:eastAsia="Times New Roman" w:hAnsi="Calibri" w:cs="Times New Roman"/>
          <w:color w:val="000000"/>
        </w:rPr>
        <w:t xml:space="preserve">Mesa Distance Learning is offered by a public district and spends $760,000 a year to maintain its online program.  American Virtual Academy is a for-profit corporation and spends </w:t>
      </w:r>
      <w:r>
        <w:rPr>
          <w:rFonts w:ascii="Calibri" w:eastAsia="Times New Roman" w:hAnsi="Calibri" w:cs="Times New Roman"/>
          <w:i/>
          <w:color w:val="000000"/>
          <w:u w:val="single"/>
        </w:rPr>
        <w:t>18 times</w:t>
      </w:r>
      <w:r>
        <w:rPr>
          <w:rFonts w:ascii="Calibri" w:eastAsia="Times New Roman" w:hAnsi="Calibri" w:cs="Times New Roman"/>
          <w:color w:val="000000"/>
        </w:rPr>
        <w:t xml:space="preserve"> more to maintain their smaller online offerings - $13.4 million in 2016.</w:t>
      </w:r>
    </w:p>
    <w:p w14:paraId="5E8C5DE3" w14:textId="77777777" w:rsidR="002F233C" w:rsidRDefault="002F233C" w:rsidP="00FE5C26">
      <w:pPr>
        <w:rPr>
          <w:rFonts w:ascii="Calibri" w:eastAsia="Times New Roman" w:hAnsi="Calibri" w:cs="Times New Roman"/>
          <w:color w:val="000000"/>
        </w:rPr>
      </w:pPr>
    </w:p>
    <w:p w14:paraId="49FAB5EA" w14:textId="45FD6B48" w:rsidR="002F233C" w:rsidRDefault="002F233C" w:rsidP="00FE5C26">
      <w:pPr>
        <w:rPr>
          <w:rFonts w:ascii="Calibri" w:eastAsia="Times New Roman" w:hAnsi="Calibri" w:cs="Times New Roman"/>
          <w:color w:val="000000"/>
        </w:rPr>
      </w:pPr>
      <w:r>
        <w:rPr>
          <w:rFonts w:ascii="Calibri" w:eastAsia="Times New Roman" w:hAnsi="Calibri" w:cs="Times New Roman"/>
          <w:color w:val="000000"/>
        </w:rPr>
        <w:lastRenderedPageBreak/>
        <w:t>According to Creamer, he began developing his own courseware beginning in 2005.</w:t>
      </w:r>
      <w:r>
        <w:rPr>
          <w:rStyle w:val="FootnoteReference"/>
          <w:rFonts w:ascii="Calibri" w:eastAsia="Times New Roman" w:hAnsi="Calibri" w:cs="Times New Roman"/>
          <w:color w:val="000000"/>
        </w:rPr>
        <w:footnoteReference w:id="17"/>
      </w:r>
      <w:r>
        <w:rPr>
          <w:rFonts w:ascii="Calibri" w:eastAsia="Times New Roman" w:hAnsi="Calibri" w:cs="Times New Roman"/>
          <w:color w:val="000000"/>
        </w:rPr>
        <w:t xml:space="preserve">  He </w:t>
      </w:r>
      <w:r w:rsidR="008A4EEC">
        <w:rPr>
          <w:rFonts w:ascii="Calibri" w:eastAsia="Times New Roman" w:hAnsi="Calibri" w:cs="Times New Roman"/>
          <w:color w:val="000000"/>
        </w:rPr>
        <w:t xml:space="preserve">then </w:t>
      </w:r>
      <w:r>
        <w:rPr>
          <w:rFonts w:ascii="Calibri" w:eastAsia="Times New Roman" w:hAnsi="Calibri" w:cs="Times New Roman"/>
          <w:color w:val="000000"/>
        </w:rPr>
        <w:t xml:space="preserve">charged his non-profit $10-$15 million dollars a year </w:t>
      </w:r>
      <w:r w:rsidR="00BD5A76">
        <w:rPr>
          <w:rFonts w:ascii="Calibri" w:eastAsia="Times New Roman" w:hAnsi="Calibri" w:cs="Times New Roman"/>
          <w:color w:val="000000"/>
        </w:rPr>
        <w:t xml:space="preserve">from </w:t>
      </w:r>
      <w:r>
        <w:rPr>
          <w:rFonts w:ascii="Calibri" w:eastAsia="Times New Roman" w:hAnsi="Calibri" w:cs="Times New Roman"/>
          <w:color w:val="000000"/>
        </w:rPr>
        <w:t xml:space="preserve">2009-2015 </w:t>
      </w:r>
      <w:r w:rsidR="00F233E6">
        <w:rPr>
          <w:rFonts w:ascii="Calibri" w:eastAsia="Times New Roman" w:hAnsi="Calibri" w:cs="Times New Roman"/>
          <w:color w:val="000000"/>
        </w:rPr>
        <w:t>to use the software his company</w:t>
      </w:r>
      <w:r w:rsidR="00C74404">
        <w:rPr>
          <w:rFonts w:ascii="Calibri" w:eastAsia="Times New Roman" w:hAnsi="Calibri" w:cs="Times New Roman"/>
          <w:color w:val="000000"/>
        </w:rPr>
        <w:t xml:space="preserve"> developed</w:t>
      </w:r>
      <w:r w:rsidR="00F233E6">
        <w:rPr>
          <w:rFonts w:ascii="Calibri" w:eastAsia="Times New Roman" w:hAnsi="Calibri" w:cs="Times New Roman"/>
          <w:color w:val="000000"/>
        </w:rPr>
        <w:t>.</w:t>
      </w:r>
    </w:p>
    <w:p w14:paraId="61B0592D" w14:textId="77777777" w:rsidR="009A1A18" w:rsidRDefault="009A1A18" w:rsidP="00FE5C26">
      <w:pPr>
        <w:rPr>
          <w:rFonts w:ascii="Calibri" w:eastAsia="Times New Roman" w:hAnsi="Calibri" w:cs="Times New Roman"/>
          <w:color w:val="000000"/>
        </w:rPr>
      </w:pPr>
    </w:p>
    <w:p w14:paraId="4559F342" w14:textId="78A3B8B4" w:rsidR="009A1A18" w:rsidRDefault="009A1A18" w:rsidP="00FE5C26">
      <w:pPr>
        <w:rPr>
          <w:rFonts w:ascii="Calibri" w:eastAsia="Times New Roman" w:hAnsi="Calibri" w:cs="Times New Roman"/>
          <w:color w:val="000000"/>
        </w:rPr>
      </w:pPr>
      <w:r>
        <w:rPr>
          <w:rFonts w:ascii="Calibri" w:eastAsia="Times New Roman" w:hAnsi="Calibri" w:cs="Times New Roman"/>
          <w:color w:val="000000"/>
        </w:rPr>
        <w:t>Now Creamer is selling the programs created for Primavera Online through his new company SoundMind.  The profits from these sales are unknown because SoundMind is a private company.</w:t>
      </w:r>
    </w:p>
    <w:p w14:paraId="182F16F9" w14:textId="77777777" w:rsidR="000016E9" w:rsidRDefault="000016E9" w:rsidP="00FE5C26">
      <w:pPr>
        <w:rPr>
          <w:rFonts w:ascii="Calibri" w:eastAsia="Times New Roman" w:hAnsi="Calibri" w:cs="Times New Roman"/>
          <w:color w:val="000000"/>
        </w:rPr>
      </w:pPr>
    </w:p>
    <w:p w14:paraId="61911CFB" w14:textId="3AEBB36A" w:rsidR="000016E9" w:rsidRDefault="000016E9" w:rsidP="00FE5C26">
      <w:pPr>
        <w:rPr>
          <w:rFonts w:ascii="Calibri" w:eastAsia="Times New Roman" w:hAnsi="Calibri" w:cs="Times New Roman"/>
          <w:color w:val="000000"/>
        </w:rPr>
      </w:pPr>
      <w:r>
        <w:rPr>
          <w:rFonts w:ascii="Calibri" w:eastAsia="Times New Roman" w:hAnsi="Calibri" w:cs="Times New Roman"/>
          <w:color w:val="000000"/>
        </w:rPr>
        <w:t>T</w:t>
      </w:r>
      <w:r w:rsidR="005C6403">
        <w:rPr>
          <w:rFonts w:ascii="Calibri" w:eastAsia="Times New Roman" w:hAnsi="Calibri" w:cs="Times New Roman"/>
          <w:color w:val="000000"/>
        </w:rPr>
        <w:t>here was</w:t>
      </w:r>
      <w:r>
        <w:rPr>
          <w:rFonts w:ascii="Calibri" w:eastAsia="Times New Roman" w:hAnsi="Calibri" w:cs="Times New Roman"/>
          <w:color w:val="000000"/>
        </w:rPr>
        <w:t xml:space="preserve"> absolutely no separation </w:t>
      </w:r>
      <w:r w:rsidR="00B252F6">
        <w:rPr>
          <w:rFonts w:ascii="Calibri" w:eastAsia="Times New Roman" w:hAnsi="Calibri" w:cs="Times New Roman"/>
          <w:color w:val="000000"/>
        </w:rPr>
        <w:t>between non-profit PTLC and for-</w:t>
      </w:r>
      <w:r>
        <w:rPr>
          <w:rFonts w:ascii="Calibri" w:eastAsia="Times New Roman" w:hAnsi="Calibri" w:cs="Times New Roman"/>
          <w:color w:val="000000"/>
        </w:rPr>
        <w:t xml:space="preserve">profit AVA. </w:t>
      </w:r>
      <w:r w:rsidR="005C6403">
        <w:rPr>
          <w:rFonts w:ascii="Calibri" w:eastAsia="Times New Roman" w:hAnsi="Calibri" w:cs="Times New Roman"/>
          <w:color w:val="000000"/>
        </w:rPr>
        <w:t xml:space="preserve">The transfer of the Primavera charter to AVA for no compensation demonstrates the </w:t>
      </w:r>
      <w:r w:rsidR="008A4EEC">
        <w:rPr>
          <w:rFonts w:ascii="Calibri" w:eastAsia="Times New Roman" w:hAnsi="Calibri" w:cs="Times New Roman"/>
          <w:color w:val="000000"/>
        </w:rPr>
        <w:t>collusion</w:t>
      </w:r>
      <w:r w:rsidR="005C6403">
        <w:rPr>
          <w:rFonts w:ascii="Calibri" w:eastAsia="Times New Roman" w:hAnsi="Calibri" w:cs="Times New Roman"/>
          <w:color w:val="000000"/>
        </w:rPr>
        <w:t xml:space="preserve"> between the non-profit </w:t>
      </w:r>
      <w:r w:rsidR="00117FA6">
        <w:rPr>
          <w:rFonts w:ascii="Calibri" w:eastAsia="Times New Roman" w:hAnsi="Calibri" w:cs="Times New Roman"/>
          <w:color w:val="000000"/>
        </w:rPr>
        <w:t xml:space="preserve">PTLC </w:t>
      </w:r>
      <w:r w:rsidR="005C6403">
        <w:rPr>
          <w:rFonts w:ascii="Calibri" w:eastAsia="Times New Roman" w:hAnsi="Calibri" w:cs="Times New Roman"/>
          <w:color w:val="000000"/>
        </w:rPr>
        <w:t>and the</w:t>
      </w:r>
      <w:r w:rsidR="00117FA6">
        <w:rPr>
          <w:rFonts w:ascii="Calibri" w:eastAsia="Times New Roman" w:hAnsi="Calibri" w:cs="Times New Roman"/>
          <w:color w:val="000000"/>
        </w:rPr>
        <w:t xml:space="preserve">ir </w:t>
      </w:r>
      <w:r w:rsidR="0065096E">
        <w:rPr>
          <w:rFonts w:ascii="Calibri" w:eastAsia="Times New Roman" w:hAnsi="Calibri" w:cs="Times New Roman"/>
          <w:color w:val="000000"/>
        </w:rPr>
        <w:t xml:space="preserve">related </w:t>
      </w:r>
      <w:r w:rsidR="00117FA6">
        <w:rPr>
          <w:rFonts w:ascii="Calibri" w:eastAsia="Times New Roman" w:hAnsi="Calibri" w:cs="Times New Roman"/>
          <w:color w:val="000000"/>
        </w:rPr>
        <w:t>for-profit vendor, AVA</w:t>
      </w:r>
      <w:r w:rsidR="005C6403">
        <w:rPr>
          <w:rFonts w:ascii="Calibri" w:eastAsia="Times New Roman" w:hAnsi="Calibri" w:cs="Times New Roman"/>
          <w:color w:val="000000"/>
        </w:rPr>
        <w:t>.</w:t>
      </w:r>
      <w:r w:rsidR="00586C48">
        <w:rPr>
          <w:rFonts w:ascii="Calibri" w:eastAsia="Times New Roman" w:hAnsi="Calibri" w:cs="Times New Roman"/>
          <w:color w:val="000000"/>
        </w:rPr>
        <w:t xml:space="preserve"> -  all for the personal benefit of </w:t>
      </w:r>
      <w:r w:rsidR="00F14410">
        <w:rPr>
          <w:rFonts w:ascii="Calibri" w:eastAsia="Times New Roman" w:hAnsi="Calibri" w:cs="Times New Roman"/>
          <w:color w:val="000000"/>
        </w:rPr>
        <w:t xml:space="preserve">the owner of both organizations, </w:t>
      </w:r>
      <w:r w:rsidR="00586C48">
        <w:rPr>
          <w:rFonts w:ascii="Calibri" w:eastAsia="Times New Roman" w:hAnsi="Calibri" w:cs="Times New Roman"/>
          <w:color w:val="000000"/>
        </w:rPr>
        <w:t>Damian Creamer.</w:t>
      </w:r>
    </w:p>
    <w:p w14:paraId="7EA0BE83" w14:textId="77777777" w:rsidR="00F233E6" w:rsidRDefault="00F233E6" w:rsidP="00FE5C26">
      <w:pPr>
        <w:rPr>
          <w:rFonts w:ascii="Calibri" w:eastAsia="Times New Roman" w:hAnsi="Calibri" w:cs="Times New Roman"/>
          <w:color w:val="000000"/>
        </w:rPr>
      </w:pPr>
    </w:p>
    <w:p w14:paraId="77B9AC6F" w14:textId="0AB789DF" w:rsidR="00F233E6" w:rsidRDefault="00F233E6" w:rsidP="00FE5C26">
      <w:pPr>
        <w:rPr>
          <w:rFonts w:ascii="Calibri" w:eastAsia="Times New Roman" w:hAnsi="Calibri" w:cs="Times New Roman"/>
          <w:color w:val="000000"/>
        </w:rPr>
      </w:pPr>
      <w:r>
        <w:rPr>
          <w:rFonts w:ascii="Calibri" w:eastAsia="Times New Roman" w:hAnsi="Calibri" w:cs="Times New Roman"/>
          <w:color w:val="000000"/>
        </w:rPr>
        <w:t>There is a charade going on in the charter school industry</w:t>
      </w:r>
      <w:r w:rsidR="008A4EEC">
        <w:rPr>
          <w:rFonts w:ascii="Calibri" w:eastAsia="Times New Roman" w:hAnsi="Calibri" w:cs="Times New Roman"/>
          <w:color w:val="000000"/>
        </w:rPr>
        <w:t>,</w:t>
      </w:r>
      <w:r>
        <w:rPr>
          <w:rFonts w:ascii="Calibri" w:eastAsia="Times New Roman" w:hAnsi="Calibri" w:cs="Times New Roman"/>
          <w:color w:val="000000"/>
        </w:rPr>
        <w:t xml:space="preserve"> both in Arizona and around the nation</w:t>
      </w:r>
      <w:r w:rsidR="008A4EEC">
        <w:rPr>
          <w:rFonts w:ascii="Calibri" w:eastAsia="Times New Roman" w:hAnsi="Calibri" w:cs="Times New Roman"/>
          <w:color w:val="000000"/>
        </w:rPr>
        <w:t>,</w:t>
      </w:r>
      <w:r>
        <w:rPr>
          <w:rFonts w:ascii="Calibri" w:eastAsia="Times New Roman" w:hAnsi="Calibri" w:cs="Times New Roman"/>
          <w:color w:val="000000"/>
        </w:rPr>
        <w:t xml:space="preserve"> that allows charter owners like Damian Cr</w:t>
      </w:r>
      <w:r w:rsidR="00F14410">
        <w:rPr>
          <w:rFonts w:ascii="Calibri" w:eastAsia="Times New Roman" w:hAnsi="Calibri" w:cs="Times New Roman"/>
          <w:color w:val="000000"/>
        </w:rPr>
        <w:t>e</w:t>
      </w:r>
      <w:r>
        <w:rPr>
          <w:rFonts w:ascii="Calibri" w:eastAsia="Times New Roman" w:hAnsi="Calibri" w:cs="Times New Roman"/>
          <w:color w:val="000000"/>
        </w:rPr>
        <w:t>ame</w:t>
      </w:r>
      <w:r w:rsidR="00B252F6">
        <w:rPr>
          <w:rFonts w:ascii="Calibri" w:eastAsia="Times New Roman" w:hAnsi="Calibri" w:cs="Times New Roman"/>
          <w:color w:val="000000"/>
        </w:rPr>
        <w:t>r to control non-profit charter schools</w:t>
      </w:r>
      <w:r>
        <w:rPr>
          <w:rFonts w:ascii="Calibri" w:eastAsia="Times New Roman" w:hAnsi="Calibri" w:cs="Times New Roman"/>
          <w:color w:val="000000"/>
        </w:rPr>
        <w:t xml:space="preserve"> to enrich their for-profit subsidiaries.  In previous reports we found that Bill Coats used a non-profit be founded (the American Charter Schools Foundation) to buy ten schools owned by Coats’ for-profit </w:t>
      </w:r>
      <w:r w:rsidR="00CB53B7">
        <w:rPr>
          <w:rFonts w:ascii="Calibri" w:eastAsia="Times New Roman" w:hAnsi="Calibri" w:cs="Times New Roman"/>
          <w:color w:val="000000"/>
        </w:rPr>
        <w:t xml:space="preserve">company, the </w:t>
      </w:r>
      <w:r>
        <w:rPr>
          <w:rFonts w:ascii="Calibri" w:eastAsia="Times New Roman" w:hAnsi="Calibri" w:cs="Times New Roman"/>
          <w:color w:val="000000"/>
        </w:rPr>
        <w:t>Leona Group Inc</w:t>
      </w:r>
      <w:r w:rsidR="00CB53B7">
        <w:rPr>
          <w:rFonts w:ascii="Calibri" w:eastAsia="Times New Roman" w:hAnsi="Calibri" w:cs="Times New Roman"/>
          <w:color w:val="000000"/>
        </w:rPr>
        <w:t>., for a $25 million profit in 2007.</w:t>
      </w:r>
      <w:r>
        <w:rPr>
          <w:rFonts w:ascii="Calibri" w:eastAsia="Times New Roman" w:hAnsi="Calibri" w:cs="Times New Roman"/>
          <w:color w:val="000000"/>
        </w:rPr>
        <w:t xml:space="preserve"> </w:t>
      </w:r>
      <w:r w:rsidR="009469C6">
        <w:rPr>
          <w:rFonts w:ascii="Calibri" w:eastAsia="Times New Roman" w:hAnsi="Calibri" w:cs="Times New Roman"/>
          <w:color w:val="000000"/>
        </w:rPr>
        <w:t>The largest charter company in the U.S., Imagine Schools, uses a non-profit front in Arizona, created by owner Dennis Bakke, to self-deal multiple goods and services from Bakke’s for-profit Imagine Inc.- netting $12 million more on management fees and real estate leases than on classroom instruction each year.</w:t>
      </w:r>
      <w:r w:rsidR="009469C6">
        <w:rPr>
          <w:rStyle w:val="FootnoteReference"/>
          <w:rFonts w:ascii="Calibri" w:eastAsia="Times New Roman" w:hAnsi="Calibri" w:cs="Times New Roman"/>
          <w:color w:val="000000"/>
        </w:rPr>
        <w:footnoteReference w:id="18"/>
      </w:r>
    </w:p>
    <w:p w14:paraId="313CDBCD" w14:textId="77777777" w:rsidR="00CB53B7" w:rsidRDefault="00CB53B7" w:rsidP="00FE5C26">
      <w:pPr>
        <w:rPr>
          <w:rFonts w:ascii="Calibri" w:eastAsia="Times New Roman" w:hAnsi="Calibri" w:cs="Times New Roman"/>
          <w:color w:val="000000"/>
        </w:rPr>
      </w:pPr>
    </w:p>
    <w:p w14:paraId="6A388C74" w14:textId="55C47964" w:rsidR="00CB53B7" w:rsidRDefault="00CB53B7" w:rsidP="00FE5C26">
      <w:pPr>
        <w:rPr>
          <w:rFonts w:ascii="Calibri" w:eastAsia="Times New Roman" w:hAnsi="Calibri" w:cs="Times New Roman"/>
          <w:color w:val="000000"/>
        </w:rPr>
      </w:pPr>
      <w:r>
        <w:rPr>
          <w:rFonts w:ascii="Calibri" w:eastAsia="Times New Roman" w:hAnsi="Calibri" w:cs="Times New Roman"/>
          <w:color w:val="000000"/>
        </w:rPr>
        <w:t xml:space="preserve">Damian Creamer renewed the charter for </w:t>
      </w:r>
      <w:r w:rsidR="009469C6">
        <w:rPr>
          <w:rFonts w:ascii="Calibri" w:eastAsia="Times New Roman" w:hAnsi="Calibri" w:cs="Times New Roman"/>
          <w:color w:val="000000"/>
        </w:rPr>
        <w:t>Primavera</w:t>
      </w:r>
      <w:r>
        <w:rPr>
          <w:rFonts w:ascii="Calibri" w:eastAsia="Times New Roman" w:hAnsi="Calibri" w:cs="Times New Roman"/>
          <w:color w:val="000000"/>
        </w:rPr>
        <w:t xml:space="preserve"> Online for 20 years and moved the charter from his non-profit company to his for-profit company without any discussion of the issues raised in this report by the Arizona Charter Board.  The Auditor General is not allowed to monitor charter school operations and the Arizona State Board for Charter Schools gives a wink and a nod to charter owners that defraud Arizona taxpayers out of tens of millions of dollars. </w:t>
      </w:r>
      <w:r w:rsidR="008A4EEC">
        <w:rPr>
          <w:rFonts w:ascii="Calibri" w:eastAsia="Times New Roman" w:hAnsi="Calibri" w:cs="Times New Roman"/>
          <w:color w:val="000000"/>
        </w:rPr>
        <w:t>It is worthwhile to listen to the transcript of the Primavera renewal presentation on June 15, 2015 to see how little the Charter Board appears to know, or care about the fraud, waste and abuse that permeates many Arizona charter schools.</w:t>
      </w:r>
      <w:r w:rsidR="008A4EEC">
        <w:rPr>
          <w:rStyle w:val="FootnoteReference"/>
          <w:rFonts w:ascii="Calibri" w:eastAsia="Times New Roman" w:hAnsi="Calibri" w:cs="Times New Roman"/>
          <w:color w:val="000000"/>
        </w:rPr>
        <w:footnoteReference w:id="19"/>
      </w:r>
      <w:r w:rsidR="00F14410">
        <w:rPr>
          <w:rFonts w:ascii="Calibri" w:eastAsia="Times New Roman" w:hAnsi="Calibri" w:cs="Times New Roman"/>
          <w:color w:val="000000"/>
        </w:rPr>
        <w:t xml:space="preserve">  There is no one monitoring these abuses in Arizona.</w:t>
      </w:r>
    </w:p>
    <w:p w14:paraId="7E346A0E" w14:textId="77777777" w:rsidR="00E45EDA" w:rsidRDefault="00E45EDA" w:rsidP="00FE5C26">
      <w:pPr>
        <w:rPr>
          <w:rFonts w:ascii="Calibri" w:eastAsia="Times New Roman" w:hAnsi="Calibri" w:cs="Times New Roman"/>
          <w:color w:val="000000"/>
        </w:rPr>
      </w:pPr>
    </w:p>
    <w:p w14:paraId="4E0BD7DC" w14:textId="59170425" w:rsidR="00E45EDA" w:rsidRDefault="00E45EDA" w:rsidP="00FE5C26">
      <w:pPr>
        <w:rPr>
          <w:rFonts w:ascii="Calibri" w:eastAsia="Times New Roman" w:hAnsi="Calibri" w:cs="Times New Roman"/>
          <w:color w:val="000000"/>
        </w:rPr>
      </w:pPr>
      <w:r>
        <w:rPr>
          <w:rFonts w:ascii="Calibri" w:eastAsia="Times New Roman" w:hAnsi="Calibri" w:cs="Times New Roman"/>
          <w:color w:val="000000"/>
        </w:rPr>
        <w:lastRenderedPageBreak/>
        <w:t xml:space="preserve">School choice becomes extremely expensive when corporations are allowed to collect extravagant profits and fees for services public districts can provide at a fraction of the cost.  If public Mesa Distance Learning were to </w:t>
      </w:r>
      <w:r w:rsidRPr="00E45EDA">
        <w:rPr>
          <w:rFonts w:ascii="Calibri" w:eastAsia="Times New Roman" w:hAnsi="Calibri" w:cs="Times New Roman"/>
          <w:i/>
          <w:color w:val="000000"/>
        </w:rPr>
        <w:t xml:space="preserve">triple </w:t>
      </w:r>
      <w:r>
        <w:rPr>
          <w:rFonts w:ascii="Calibri" w:eastAsia="Times New Roman" w:hAnsi="Calibri" w:cs="Times New Roman"/>
          <w:color w:val="000000"/>
        </w:rPr>
        <w:t xml:space="preserve">their expenditures for software maintenance and development they would still spend $11 million less </w:t>
      </w:r>
      <w:r w:rsidR="0042398A">
        <w:rPr>
          <w:rFonts w:ascii="Calibri" w:eastAsia="Times New Roman" w:hAnsi="Calibri" w:cs="Times New Roman"/>
          <w:color w:val="000000"/>
        </w:rPr>
        <w:t xml:space="preserve">annually </w:t>
      </w:r>
      <w:r>
        <w:rPr>
          <w:rFonts w:ascii="Calibri" w:eastAsia="Times New Roman" w:hAnsi="Calibri" w:cs="Times New Roman"/>
          <w:color w:val="000000"/>
        </w:rPr>
        <w:t xml:space="preserve">than AVA.  Combine that with AVA’s $10 million profit </w:t>
      </w:r>
      <w:r w:rsidR="0042398A">
        <w:rPr>
          <w:rFonts w:ascii="Calibri" w:eastAsia="Times New Roman" w:hAnsi="Calibri" w:cs="Times New Roman"/>
          <w:color w:val="000000"/>
        </w:rPr>
        <w:t>MDL</w:t>
      </w:r>
      <w:r>
        <w:rPr>
          <w:rFonts w:ascii="Calibri" w:eastAsia="Times New Roman" w:hAnsi="Calibri" w:cs="Times New Roman"/>
          <w:color w:val="000000"/>
        </w:rPr>
        <w:t xml:space="preserve"> could not collect as a public district, the annual savings is an astounding $21 million a ye</w:t>
      </w:r>
      <w:r w:rsidR="00E7000E">
        <w:rPr>
          <w:rFonts w:ascii="Calibri" w:eastAsia="Times New Roman" w:hAnsi="Calibri" w:cs="Times New Roman"/>
          <w:color w:val="000000"/>
        </w:rPr>
        <w:t>ar.  $210 million over 10 years if 4400 students attended a public district online school rather than AVA.</w:t>
      </w:r>
    </w:p>
    <w:p w14:paraId="17A51CE4" w14:textId="77777777" w:rsidR="00CB53B7" w:rsidRDefault="00CB53B7" w:rsidP="00FE5C26">
      <w:pPr>
        <w:rPr>
          <w:rFonts w:ascii="Calibri" w:eastAsia="Times New Roman" w:hAnsi="Calibri" w:cs="Times New Roman"/>
          <w:color w:val="000000"/>
        </w:rPr>
      </w:pPr>
    </w:p>
    <w:p w14:paraId="34520476" w14:textId="5B8A8F63" w:rsidR="00CB53B7" w:rsidRDefault="009718DD" w:rsidP="00FE5C26">
      <w:pPr>
        <w:rPr>
          <w:rFonts w:ascii="Calibri" w:eastAsia="Times New Roman" w:hAnsi="Calibri" w:cs="Times New Roman"/>
          <w:color w:val="000000"/>
        </w:rPr>
      </w:pPr>
      <w:r>
        <w:rPr>
          <w:rFonts w:ascii="Calibri" w:eastAsia="Times New Roman" w:hAnsi="Calibri" w:cs="Times New Roman"/>
          <w:color w:val="000000"/>
        </w:rPr>
        <w:t xml:space="preserve">Arizona </w:t>
      </w:r>
      <w:r w:rsidR="00586C48">
        <w:rPr>
          <w:rFonts w:ascii="Calibri" w:eastAsia="Times New Roman" w:hAnsi="Calibri" w:cs="Times New Roman"/>
          <w:color w:val="000000"/>
        </w:rPr>
        <w:t>is 47</w:t>
      </w:r>
      <w:r w:rsidR="00586C48" w:rsidRPr="00586C48">
        <w:rPr>
          <w:rFonts w:ascii="Calibri" w:eastAsia="Times New Roman" w:hAnsi="Calibri" w:cs="Times New Roman"/>
          <w:color w:val="000000"/>
          <w:vertAlign w:val="superscript"/>
        </w:rPr>
        <w:t>th</w:t>
      </w:r>
      <w:r w:rsidR="00586C48">
        <w:rPr>
          <w:rFonts w:ascii="Calibri" w:eastAsia="Times New Roman" w:hAnsi="Calibri" w:cs="Times New Roman"/>
          <w:color w:val="000000"/>
        </w:rPr>
        <w:t xml:space="preserve">. </w:t>
      </w:r>
      <w:r w:rsidR="00CB53B7">
        <w:rPr>
          <w:rFonts w:ascii="Calibri" w:eastAsia="Times New Roman" w:hAnsi="Calibri" w:cs="Times New Roman"/>
          <w:color w:val="000000"/>
        </w:rPr>
        <w:t xml:space="preserve"> in the nation </w:t>
      </w:r>
      <w:r w:rsidR="00E43D22">
        <w:rPr>
          <w:rFonts w:ascii="Calibri" w:eastAsia="Times New Roman" w:hAnsi="Calibri" w:cs="Times New Roman"/>
          <w:color w:val="000000"/>
        </w:rPr>
        <w:t>in</w:t>
      </w:r>
      <w:r w:rsidR="00586C48">
        <w:rPr>
          <w:rFonts w:ascii="Calibri" w:eastAsia="Times New Roman" w:hAnsi="Calibri" w:cs="Times New Roman"/>
          <w:color w:val="000000"/>
        </w:rPr>
        <w:t xml:space="preserve"> spending </w:t>
      </w:r>
      <w:r w:rsidR="00CB53B7">
        <w:rPr>
          <w:rFonts w:ascii="Calibri" w:eastAsia="Times New Roman" w:hAnsi="Calibri" w:cs="Times New Roman"/>
          <w:color w:val="000000"/>
        </w:rPr>
        <w:t>for public schools and teacher salaries.</w:t>
      </w:r>
      <w:r>
        <w:rPr>
          <w:rFonts w:ascii="Calibri" w:eastAsia="Times New Roman" w:hAnsi="Calibri" w:cs="Times New Roman"/>
          <w:color w:val="000000"/>
        </w:rPr>
        <w:t xml:space="preserve">  Every nickel of the $2 million Damian Creamer paid himself and his family </w:t>
      </w:r>
      <w:r w:rsidR="009469C6">
        <w:rPr>
          <w:rFonts w:ascii="Calibri" w:eastAsia="Times New Roman" w:hAnsi="Calibri" w:cs="Times New Roman"/>
          <w:color w:val="000000"/>
        </w:rPr>
        <w:t xml:space="preserve">as officers of his non-profit, </w:t>
      </w:r>
      <w:r>
        <w:rPr>
          <w:rFonts w:ascii="Calibri" w:eastAsia="Times New Roman" w:hAnsi="Calibri" w:cs="Times New Roman"/>
          <w:color w:val="000000"/>
        </w:rPr>
        <w:t>the $84 million he routed into h</w:t>
      </w:r>
      <w:r w:rsidR="00F14410">
        <w:rPr>
          <w:rFonts w:ascii="Calibri" w:eastAsia="Times New Roman" w:hAnsi="Calibri" w:cs="Times New Roman"/>
          <w:color w:val="000000"/>
        </w:rPr>
        <w:t>is for-profit software company</w:t>
      </w:r>
      <w:r>
        <w:rPr>
          <w:rFonts w:ascii="Calibri" w:eastAsia="Times New Roman" w:hAnsi="Calibri" w:cs="Times New Roman"/>
          <w:color w:val="000000"/>
        </w:rPr>
        <w:t xml:space="preserve"> over seven years, and the obscene $10 million profit he realized in 2016</w:t>
      </w:r>
      <w:r w:rsidR="00E43D22">
        <w:rPr>
          <w:rFonts w:ascii="Calibri" w:eastAsia="Times New Roman" w:hAnsi="Calibri" w:cs="Times New Roman"/>
          <w:color w:val="000000"/>
        </w:rPr>
        <w:t>,</w:t>
      </w:r>
      <w:r>
        <w:rPr>
          <w:rFonts w:ascii="Calibri" w:eastAsia="Times New Roman" w:hAnsi="Calibri" w:cs="Times New Roman"/>
          <w:color w:val="000000"/>
        </w:rPr>
        <w:t xml:space="preserve"> came</w:t>
      </w:r>
      <w:r w:rsidR="009469C6">
        <w:rPr>
          <w:rFonts w:ascii="Calibri" w:eastAsia="Times New Roman" w:hAnsi="Calibri" w:cs="Times New Roman"/>
          <w:color w:val="000000"/>
        </w:rPr>
        <w:t xml:space="preserve"> out of Arizona’s general fund – and out of the </w:t>
      </w:r>
      <w:r w:rsidR="0065096E">
        <w:rPr>
          <w:rFonts w:ascii="Calibri" w:eastAsia="Times New Roman" w:hAnsi="Calibri" w:cs="Times New Roman"/>
          <w:color w:val="000000"/>
        </w:rPr>
        <w:t>budgets</w:t>
      </w:r>
      <w:r w:rsidR="009469C6">
        <w:rPr>
          <w:rFonts w:ascii="Calibri" w:eastAsia="Times New Roman" w:hAnsi="Calibri" w:cs="Times New Roman"/>
          <w:color w:val="000000"/>
        </w:rPr>
        <w:t xml:space="preserve"> of public schools</w:t>
      </w:r>
      <w:r>
        <w:rPr>
          <w:rFonts w:ascii="Calibri" w:eastAsia="Times New Roman" w:hAnsi="Calibri" w:cs="Times New Roman"/>
          <w:color w:val="000000"/>
        </w:rPr>
        <w:t xml:space="preserve"> </w:t>
      </w:r>
      <w:r w:rsidR="00F14410">
        <w:rPr>
          <w:rFonts w:ascii="Calibri" w:eastAsia="Times New Roman" w:hAnsi="Calibri" w:cs="Times New Roman"/>
          <w:color w:val="000000"/>
        </w:rPr>
        <w:t>and taxpayer’s pockets.</w:t>
      </w:r>
    </w:p>
    <w:p w14:paraId="25997447" w14:textId="77777777" w:rsidR="00B252F6" w:rsidRDefault="00B252F6" w:rsidP="00FE5C26">
      <w:pPr>
        <w:rPr>
          <w:rFonts w:ascii="Calibri" w:eastAsia="Times New Roman" w:hAnsi="Calibri" w:cs="Times New Roman"/>
          <w:color w:val="000000"/>
        </w:rPr>
      </w:pPr>
    </w:p>
    <w:p w14:paraId="62F34879" w14:textId="77777777" w:rsidR="0060685B" w:rsidRDefault="0060685B" w:rsidP="00FE5C26">
      <w:pPr>
        <w:rPr>
          <w:rFonts w:ascii="Calibri" w:eastAsia="Times New Roman" w:hAnsi="Calibri" w:cs="Times New Roman"/>
          <w:color w:val="000000"/>
        </w:rPr>
      </w:pPr>
    </w:p>
    <w:p w14:paraId="2A3030D6" w14:textId="1417D1DE" w:rsidR="0060685B" w:rsidRPr="0060685B" w:rsidRDefault="0060685B" w:rsidP="00FE5C26">
      <w:pPr>
        <w:rPr>
          <w:rFonts w:ascii="Calibri" w:eastAsia="Times New Roman" w:hAnsi="Calibri" w:cs="Times New Roman"/>
          <w:b/>
          <w:color w:val="000000"/>
          <w:sz w:val="28"/>
          <w:szCs w:val="28"/>
        </w:rPr>
      </w:pPr>
      <w:r w:rsidRPr="0060685B">
        <w:rPr>
          <w:rFonts w:ascii="Calibri" w:eastAsia="Times New Roman" w:hAnsi="Calibri" w:cs="Times New Roman"/>
          <w:b/>
          <w:color w:val="000000"/>
          <w:sz w:val="28"/>
          <w:szCs w:val="28"/>
        </w:rPr>
        <w:t>Recommendations:</w:t>
      </w:r>
    </w:p>
    <w:p w14:paraId="31ADB347" w14:textId="77777777" w:rsidR="009718DD" w:rsidRDefault="009718DD" w:rsidP="00FE5C26">
      <w:pPr>
        <w:rPr>
          <w:rFonts w:ascii="Calibri" w:eastAsia="Times New Roman" w:hAnsi="Calibri" w:cs="Times New Roman"/>
          <w:color w:val="000000"/>
        </w:rPr>
      </w:pPr>
    </w:p>
    <w:p w14:paraId="0B09EA03" w14:textId="1E41F01D" w:rsidR="0060685B" w:rsidRPr="0060685B" w:rsidRDefault="009718DD" w:rsidP="0060685B">
      <w:pPr>
        <w:pStyle w:val="ListParagraph"/>
        <w:numPr>
          <w:ilvl w:val="0"/>
          <w:numId w:val="1"/>
        </w:numPr>
        <w:rPr>
          <w:rFonts w:ascii="Calibri" w:eastAsia="Times New Roman" w:hAnsi="Calibri" w:cs="Times New Roman"/>
          <w:color w:val="000000"/>
        </w:rPr>
      </w:pPr>
      <w:r w:rsidRPr="0060685B">
        <w:rPr>
          <w:rFonts w:ascii="Calibri" w:eastAsia="Times New Roman" w:hAnsi="Calibri" w:cs="Times New Roman"/>
          <w:color w:val="000000"/>
        </w:rPr>
        <w:t xml:space="preserve">The Internal Revenue Service needs to shut down the self-serving non-profit charter schools that are fronts for for-profit </w:t>
      </w:r>
      <w:r w:rsidR="0060685B" w:rsidRPr="0060685B">
        <w:rPr>
          <w:rFonts w:ascii="Calibri" w:eastAsia="Times New Roman" w:hAnsi="Calibri" w:cs="Times New Roman"/>
          <w:color w:val="000000"/>
        </w:rPr>
        <w:t>corporations</w:t>
      </w:r>
      <w:r w:rsidRPr="0060685B">
        <w:rPr>
          <w:rFonts w:ascii="Calibri" w:eastAsia="Times New Roman" w:hAnsi="Calibri" w:cs="Times New Roman"/>
          <w:color w:val="000000"/>
        </w:rPr>
        <w:t xml:space="preserve">. </w:t>
      </w:r>
    </w:p>
    <w:p w14:paraId="302F4125" w14:textId="19FA3BFB" w:rsidR="0060685B" w:rsidRDefault="009718DD" w:rsidP="0060685B">
      <w:pPr>
        <w:pStyle w:val="ListParagraph"/>
        <w:numPr>
          <w:ilvl w:val="0"/>
          <w:numId w:val="1"/>
        </w:numPr>
        <w:rPr>
          <w:rFonts w:ascii="Calibri" w:eastAsia="Times New Roman" w:hAnsi="Calibri" w:cs="Times New Roman"/>
          <w:color w:val="000000"/>
        </w:rPr>
      </w:pPr>
      <w:r w:rsidRPr="0060685B">
        <w:rPr>
          <w:rFonts w:ascii="Calibri" w:eastAsia="Times New Roman" w:hAnsi="Calibri" w:cs="Times New Roman"/>
          <w:color w:val="000000"/>
        </w:rPr>
        <w:t xml:space="preserve">Arizonans </w:t>
      </w:r>
      <w:r w:rsidR="0060685B" w:rsidRPr="0060685B">
        <w:rPr>
          <w:rFonts w:ascii="Calibri" w:eastAsia="Times New Roman" w:hAnsi="Calibri" w:cs="Times New Roman"/>
          <w:color w:val="000000"/>
        </w:rPr>
        <w:t xml:space="preserve">need </w:t>
      </w:r>
      <w:r w:rsidRPr="0060685B">
        <w:rPr>
          <w:rFonts w:ascii="Calibri" w:eastAsia="Times New Roman" w:hAnsi="Calibri" w:cs="Times New Roman"/>
          <w:color w:val="000000"/>
        </w:rPr>
        <w:t>to d</w:t>
      </w:r>
      <w:r w:rsidR="0065096E">
        <w:rPr>
          <w:rFonts w:ascii="Calibri" w:eastAsia="Times New Roman" w:hAnsi="Calibri" w:cs="Times New Roman"/>
          <w:color w:val="000000"/>
        </w:rPr>
        <w:t>emand that the Arizona Auditor G</w:t>
      </w:r>
      <w:r w:rsidRPr="0060685B">
        <w:rPr>
          <w:rFonts w:ascii="Calibri" w:eastAsia="Times New Roman" w:hAnsi="Calibri" w:cs="Times New Roman"/>
          <w:color w:val="000000"/>
        </w:rPr>
        <w:t>eneral monitor charter school spending</w:t>
      </w:r>
      <w:r w:rsidR="0065096E">
        <w:rPr>
          <w:rFonts w:ascii="Calibri" w:eastAsia="Times New Roman" w:hAnsi="Calibri" w:cs="Times New Roman"/>
          <w:color w:val="000000"/>
        </w:rPr>
        <w:t>.</w:t>
      </w:r>
      <w:r w:rsidRPr="0060685B">
        <w:rPr>
          <w:rFonts w:ascii="Calibri" w:eastAsia="Times New Roman" w:hAnsi="Calibri" w:cs="Times New Roman"/>
          <w:color w:val="000000"/>
        </w:rPr>
        <w:t xml:space="preserve"> </w:t>
      </w:r>
    </w:p>
    <w:p w14:paraId="07397851" w14:textId="18325397" w:rsidR="00E43D22" w:rsidRDefault="00E43D22" w:rsidP="0060685B">
      <w:pPr>
        <w:pStyle w:val="ListParagraph"/>
        <w:numPr>
          <w:ilvl w:val="0"/>
          <w:numId w:val="1"/>
        </w:numPr>
        <w:rPr>
          <w:rFonts w:ascii="Calibri" w:eastAsia="Times New Roman" w:hAnsi="Calibri" w:cs="Times New Roman"/>
          <w:color w:val="000000"/>
        </w:rPr>
      </w:pPr>
      <w:r>
        <w:rPr>
          <w:rFonts w:ascii="Calibri" w:eastAsia="Times New Roman" w:hAnsi="Calibri" w:cs="Times New Roman"/>
          <w:color w:val="000000"/>
        </w:rPr>
        <w:t>The Arizona Legislature needs to revise the funding formula for online schools.  They cost much less to operate and the savings are going straight to corporate profits.</w:t>
      </w:r>
    </w:p>
    <w:p w14:paraId="3A81EF80" w14:textId="7AA83D7B" w:rsidR="009718DD" w:rsidRDefault="0060685B" w:rsidP="0060685B">
      <w:pPr>
        <w:pStyle w:val="ListParagraph"/>
        <w:numPr>
          <w:ilvl w:val="0"/>
          <w:numId w:val="1"/>
        </w:numPr>
        <w:rPr>
          <w:rFonts w:ascii="Calibri" w:eastAsia="Times New Roman" w:hAnsi="Calibri" w:cs="Times New Roman"/>
          <w:color w:val="000000"/>
        </w:rPr>
      </w:pPr>
      <w:r>
        <w:rPr>
          <w:rFonts w:ascii="Calibri" w:eastAsia="Times New Roman" w:hAnsi="Calibri" w:cs="Times New Roman"/>
          <w:color w:val="000000"/>
        </w:rPr>
        <w:t>The</w:t>
      </w:r>
      <w:r w:rsidR="009718DD" w:rsidRPr="0060685B">
        <w:rPr>
          <w:rFonts w:ascii="Calibri" w:eastAsia="Times New Roman" w:hAnsi="Calibri" w:cs="Times New Roman"/>
          <w:color w:val="000000"/>
        </w:rPr>
        <w:t xml:space="preserve"> Arizona State Board for Charter Schools </w:t>
      </w:r>
      <w:r>
        <w:rPr>
          <w:rFonts w:ascii="Calibri" w:eastAsia="Times New Roman" w:hAnsi="Calibri" w:cs="Times New Roman"/>
          <w:color w:val="000000"/>
        </w:rPr>
        <w:t>needs to step up and</w:t>
      </w:r>
      <w:r w:rsidR="009718DD" w:rsidRPr="0060685B">
        <w:rPr>
          <w:rFonts w:ascii="Calibri" w:eastAsia="Times New Roman" w:hAnsi="Calibri" w:cs="Times New Roman"/>
          <w:color w:val="000000"/>
        </w:rPr>
        <w:t xml:space="preserve"> sanction charter holders that </w:t>
      </w:r>
      <w:r w:rsidR="00586C48">
        <w:rPr>
          <w:rFonts w:ascii="Calibri" w:eastAsia="Times New Roman" w:hAnsi="Calibri" w:cs="Times New Roman"/>
          <w:color w:val="000000"/>
        </w:rPr>
        <w:t>misuse tax funds for personal gain.</w:t>
      </w:r>
    </w:p>
    <w:p w14:paraId="234B9052" w14:textId="77777777" w:rsidR="00586C48" w:rsidRDefault="00586C48" w:rsidP="00586C48">
      <w:pPr>
        <w:pStyle w:val="ListParagraph"/>
        <w:rPr>
          <w:rFonts w:ascii="Calibri" w:eastAsia="Times New Roman" w:hAnsi="Calibri" w:cs="Times New Roman"/>
          <w:color w:val="000000"/>
        </w:rPr>
      </w:pPr>
    </w:p>
    <w:p w14:paraId="68D148FD" w14:textId="77777777" w:rsidR="009718DD" w:rsidRDefault="009718DD" w:rsidP="00FE5C26">
      <w:pPr>
        <w:rPr>
          <w:rFonts w:ascii="Calibri" w:eastAsia="Times New Roman" w:hAnsi="Calibri" w:cs="Times New Roman"/>
          <w:color w:val="000000"/>
        </w:rPr>
      </w:pPr>
    </w:p>
    <w:p w14:paraId="7D1AC5E4" w14:textId="2DD65C22" w:rsidR="0065096E" w:rsidRDefault="0065096E" w:rsidP="0065096E">
      <w:r>
        <w:t>The I.R.S. has strict guidelines for non-profit charter holders when hiring and working with vendors:</w:t>
      </w:r>
      <w:r>
        <w:rPr>
          <w:rStyle w:val="FootnoteReference"/>
        </w:rPr>
        <w:footnoteReference w:id="20"/>
      </w:r>
    </w:p>
    <w:p w14:paraId="0726C3D4" w14:textId="77777777" w:rsidR="0065096E" w:rsidRDefault="0065096E" w:rsidP="0065096E"/>
    <w:p w14:paraId="75334333" w14:textId="404CC86F" w:rsidR="0065096E" w:rsidRPr="0065096E" w:rsidRDefault="0065096E" w:rsidP="0065096E">
      <w:pPr>
        <w:pStyle w:val="ListParagraph"/>
        <w:numPr>
          <w:ilvl w:val="0"/>
          <w:numId w:val="1"/>
        </w:numPr>
        <w:ind w:right="720"/>
        <w:rPr>
          <w:rFonts w:ascii="Times" w:eastAsia="Times New Roman" w:hAnsi="Times" w:cs="Times New Roman"/>
          <w:b/>
          <w:i/>
          <w:sz w:val="20"/>
          <w:szCs w:val="20"/>
        </w:rPr>
      </w:pPr>
      <w:r w:rsidRPr="0065096E">
        <w:rPr>
          <w:rFonts w:ascii="Times" w:eastAsia="Times New Roman" w:hAnsi="Times" w:cs="Times New Roman"/>
          <w:b/>
          <w:i/>
          <w:sz w:val="20"/>
          <w:szCs w:val="20"/>
        </w:rPr>
        <w:t>For a charter school to establish exemption under IRC 501(c)(3), whether it purchases some or all of the services required to operate, it must establish that it is organized and operated for the benefit of the public and not for the benefit of any private person, such as a service provider.</w:t>
      </w:r>
    </w:p>
    <w:p w14:paraId="78A07F9E" w14:textId="77777777" w:rsidR="0065096E" w:rsidRPr="0065096E" w:rsidRDefault="0065096E" w:rsidP="00E43D22">
      <w:pPr>
        <w:pStyle w:val="ListParagraph"/>
        <w:ind w:right="720"/>
        <w:rPr>
          <w:rFonts w:ascii="Times" w:eastAsia="Times New Roman" w:hAnsi="Times" w:cs="Times New Roman"/>
          <w:b/>
          <w:i/>
          <w:sz w:val="20"/>
          <w:szCs w:val="20"/>
        </w:rPr>
      </w:pPr>
    </w:p>
    <w:p w14:paraId="025EEA81" w14:textId="6B019D71" w:rsidR="00F14410" w:rsidRDefault="00270AFB" w:rsidP="008A4EEC">
      <w:pPr>
        <w:rPr>
          <w:rFonts w:ascii="Calibri" w:eastAsia="Times New Roman" w:hAnsi="Calibri" w:cs="Times New Roman"/>
          <w:color w:val="000000"/>
        </w:rPr>
      </w:pPr>
      <w:r>
        <w:rPr>
          <w:rFonts w:ascii="Calibri" w:eastAsia="Times New Roman" w:hAnsi="Calibri" w:cs="Times New Roman"/>
          <w:color w:val="000000"/>
        </w:rPr>
        <w:t>Damian Creamer</w:t>
      </w:r>
      <w:r w:rsidR="00154B04">
        <w:rPr>
          <w:rFonts w:ascii="Calibri" w:eastAsia="Times New Roman" w:hAnsi="Calibri" w:cs="Times New Roman"/>
          <w:color w:val="000000"/>
        </w:rPr>
        <w:t>’s</w:t>
      </w:r>
      <w:r>
        <w:rPr>
          <w:rFonts w:ascii="Calibri" w:eastAsia="Times New Roman" w:hAnsi="Calibri" w:cs="Times New Roman"/>
          <w:color w:val="000000"/>
        </w:rPr>
        <w:t xml:space="preserve"> acquisition of the most prosperous charter schoo</w:t>
      </w:r>
      <w:r w:rsidR="00E43D22">
        <w:rPr>
          <w:rFonts w:ascii="Calibri" w:eastAsia="Times New Roman" w:hAnsi="Calibri" w:cs="Times New Roman"/>
          <w:color w:val="000000"/>
        </w:rPr>
        <w:t>l in Arizona without cost from the</w:t>
      </w:r>
      <w:r>
        <w:rPr>
          <w:rFonts w:ascii="Calibri" w:eastAsia="Times New Roman" w:hAnsi="Calibri" w:cs="Times New Roman"/>
          <w:color w:val="000000"/>
        </w:rPr>
        <w:t xml:space="preserve"> non-</w:t>
      </w:r>
      <w:r w:rsidR="00154B04">
        <w:rPr>
          <w:rFonts w:ascii="Calibri" w:eastAsia="Times New Roman" w:hAnsi="Calibri" w:cs="Times New Roman"/>
          <w:color w:val="000000"/>
        </w:rPr>
        <w:t>profit he owned is the most blatant example of a private person benefiting from a non-</w:t>
      </w:r>
      <w:r w:rsidR="00E43D22">
        <w:rPr>
          <w:rFonts w:ascii="Calibri" w:eastAsia="Times New Roman" w:hAnsi="Calibri" w:cs="Times New Roman"/>
          <w:color w:val="000000"/>
        </w:rPr>
        <w:t xml:space="preserve">profit organization imaginable - a $10 million dollar example. </w:t>
      </w:r>
      <w:r w:rsidR="00154B04">
        <w:rPr>
          <w:rFonts w:ascii="Calibri" w:eastAsia="Times New Roman" w:hAnsi="Calibri" w:cs="Times New Roman"/>
          <w:color w:val="000000"/>
        </w:rPr>
        <w:t xml:space="preserve">Arizonans for Charter School Accountability is filing official complaints with the Internal Revenue Service regarding </w:t>
      </w:r>
      <w:r w:rsidR="00B252F6">
        <w:rPr>
          <w:rFonts w:ascii="Calibri" w:eastAsia="Times New Roman" w:hAnsi="Calibri" w:cs="Times New Roman"/>
          <w:color w:val="000000"/>
        </w:rPr>
        <w:t>this</w:t>
      </w:r>
      <w:r w:rsidR="00154B04">
        <w:rPr>
          <w:rFonts w:ascii="Calibri" w:eastAsia="Times New Roman" w:hAnsi="Calibri" w:cs="Times New Roman"/>
          <w:color w:val="000000"/>
        </w:rPr>
        <w:t xml:space="preserve"> misus</w:t>
      </w:r>
      <w:r w:rsidR="00E43D22">
        <w:rPr>
          <w:rFonts w:ascii="Calibri" w:eastAsia="Times New Roman" w:hAnsi="Calibri" w:cs="Times New Roman"/>
          <w:color w:val="000000"/>
        </w:rPr>
        <w:t>e of a 501(c)(3) charter school for personal gain.</w:t>
      </w:r>
    </w:p>
    <w:p w14:paraId="19A9BCB7" w14:textId="77777777" w:rsidR="0042398A" w:rsidRDefault="0042398A" w:rsidP="008A4EEC">
      <w:pPr>
        <w:rPr>
          <w:rFonts w:ascii="Calibri" w:eastAsia="Times New Roman" w:hAnsi="Calibri" w:cs="Times New Roman"/>
          <w:color w:val="000000"/>
        </w:rPr>
      </w:pPr>
    </w:p>
    <w:p w14:paraId="0F193954" w14:textId="3115A9F1" w:rsidR="0042398A" w:rsidRDefault="00DC21B0" w:rsidP="008A4EEC">
      <w:pPr>
        <w:rPr>
          <w:rFonts w:ascii="Calibri" w:eastAsia="Times New Roman" w:hAnsi="Calibri" w:cs="Times New Roman"/>
          <w:color w:val="000000"/>
        </w:rPr>
      </w:pPr>
      <w:r>
        <w:rPr>
          <w:rFonts w:ascii="Calibri" w:eastAsia="Times New Roman" w:hAnsi="Calibri" w:cs="Times New Roman"/>
          <w:color w:val="000000"/>
        </w:rPr>
        <w:t>The following resources are available at azcsa.org:</w:t>
      </w:r>
    </w:p>
    <w:p w14:paraId="02DE9C0F" w14:textId="77777777" w:rsidR="00DC21B0" w:rsidRDefault="00DC21B0" w:rsidP="008A4EEC">
      <w:pPr>
        <w:rPr>
          <w:rFonts w:ascii="Calibri" w:eastAsia="Times New Roman" w:hAnsi="Calibri" w:cs="Times New Roman"/>
          <w:color w:val="000000"/>
        </w:rPr>
      </w:pPr>
    </w:p>
    <w:p w14:paraId="272548C3" w14:textId="155B132D" w:rsidR="00DC21B0" w:rsidRPr="00DC21B0" w:rsidRDefault="00DC21B0" w:rsidP="00DC21B0">
      <w:pPr>
        <w:pStyle w:val="ListParagraph"/>
        <w:numPr>
          <w:ilvl w:val="0"/>
          <w:numId w:val="1"/>
        </w:numPr>
        <w:rPr>
          <w:rFonts w:ascii="Calibri" w:eastAsia="Times New Roman" w:hAnsi="Calibri" w:cs="Times New Roman"/>
          <w:color w:val="000000"/>
        </w:rPr>
      </w:pPr>
      <w:r w:rsidRPr="00DC21B0">
        <w:rPr>
          <w:rFonts w:ascii="Calibri" w:eastAsia="Times New Roman" w:hAnsi="Calibri" w:cs="Times New Roman"/>
          <w:color w:val="000000"/>
        </w:rPr>
        <w:t>Primavera Technical Learning Center I.R.S. 990 returns 2003-2015</w:t>
      </w:r>
    </w:p>
    <w:p w14:paraId="64E3E1D2" w14:textId="0E7D29FC" w:rsidR="00DC21B0" w:rsidRDefault="00DC21B0" w:rsidP="00DC21B0">
      <w:pPr>
        <w:pStyle w:val="ListParagraph"/>
        <w:numPr>
          <w:ilvl w:val="0"/>
          <w:numId w:val="1"/>
        </w:numPr>
        <w:rPr>
          <w:rFonts w:ascii="Calibri" w:eastAsia="Times New Roman" w:hAnsi="Calibri" w:cs="Times New Roman"/>
          <w:color w:val="000000"/>
        </w:rPr>
      </w:pPr>
      <w:r>
        <w:rPr>
          <w:rFonts w:ascii="Calibri" w:eastAsia="Times New Roman" w:hAnsi="Calibri" w:cs="Times New Roman"/>
          <w:color w:val="000000"/>
        </w:rPr>
        <w:t xml:space="preserve">Primavera </w:t>
      </w:r>
      <w:r w:rsidRPr="00DC21B0">
        <w:rPr>
          <w:rFonts w:ascii="Calibri" w:eastAsia="Times New Roman" w:hAnsi="Calibri" w:cs="Times New Roman"/>
          <w:color w:val="000000"/>
        </w:rPr>
        <w:t>Technical Learning Center</w:t>
      </w:r>
      <w:r>
        <w:rPr>
          <w:rFonts w:ascii="Calibri" w:eastAsia="Times New Roman" w:hAnsi="Calibri" w:cs="Times New Roman"/>
          <w:color w:val="000000"/>
        </w:rPr>
        <w:t xml:space="preserve"> Annual Financial Reports 2002-2016</w:t>
      </w:r>
    </w:p>
    <w:p w14:paraId="2A22A769" w14:textId="245F39E5" w:rsidR="00DC21B0" w:rsidRPr="00DC21B0" w:rsidRDefault="00DC21B0" w:rsidP="00DC21B0">
      <w:pPr>
        <w:pStyle w:val="ListParagraph"/>
        <w:numPr>
          <w:ilvl w:val="0"/>
          <w:numId w:val="1"/>
        </w:numPr>
        <w:rPr>
          <w:rFonts w:ascii="Calibri" w:eastAsia="Times New Roman" w:hAnsi="Calibri" w:cs="Times New Roman"/>
          <w:color w:val="000000"/>
        </w:rPr>
      </w:pPr>
      <w:r>
        <w:rPr>
          <w:rFonts w:ascii="Calibri" w:eastAsia="Times New Roman" w:hAnsi="Calibri" w:cs="Times New Roman"/>
          <w:color w:val="000000"/>
        </w:rPr>
        <w:t xml:space="preserve">Primavera </w:t>
      </w:r>
      <w:r w:rsidRPr="00DC21B0">
        <w:rPr>
          <w:rFonts w:ascii="Calibri" w:eastAsia="Times New Roman" w:hAnsi="Calibri" w:cs="Times New Roman"/>
          <w:color w:val="000000"/>
        </w:rPr>
        <w:t>Technical Learning Center</w:t>
      </w:r>
      <w:r>
        <w:rPr>
          <w:rFonts w:ascii="Calibri" w:eastAsia="Times New Roman" w:hAnsi="Calibri" w:cs="Times New Roman"/>
          <w:color w:val="000000"/>
        </w:rPr>
        <w:t xml:space="preserve"> Annual Audits 2009-2016</w:t>
      </w:r>
      <w:bookmarkStart w:id="0" w:name="_GoBack"/>
      <w:bookmarkEnd w:id="0"/>
    </w:p>
    <w:p w14:paraId="55B8FF71" w14:textId="77777777" w:rsidR="0042398A" w:rsidRDefault="0042398A" w:rsidP="008A4EEC">
      <w:pPr>
        <w:rPr>
          <w:rFonts w:ascii="Calibri" w:eastAsia="Times New Roman" w:hAnsi="Calibri" w:cs="Times New Roman"/>
          <w:color w:val="000000"/>
        </w:rPr>
      </w:pPr>
    </w:p>
    <w:p w14:paraId="352C672C" w14:textId="77777777" w:rsidR="0042398A" w:rsidRDefault="0042398A" w:rsidP="008A4EEC">
      <w:pPr>
        <w:rPr>
          <w:rFonts w:ascii="Calibri" w:eastAsia="Times New Roman" w:hAnsi="Calibri" w:cs="Times New Roman"/>
          <w:color w:val="000000"/>
        </w:rPr>
      </w:pPr>
    </w:p>
    <w:p w14:paraId="037EC3A7" w14:textId="77777777" w:rsidR="0042398A" w:rsidRDefault="0042398A" w:rsidP="008A4EEC">
      <w:pPr>
        <w:rPr>
          <w:rFonts w:ascii="Calibri" w:eastAsia="Times New Roman" w:hAnsi="Calibri" w:cs="Times New Roman"/>
          <w:color w:val="000000"/>
        </w:rPr>
      </w:pPr>
    </w:p>
    <w:p w14:paraId="312487C7" w14:textId="77777777" w:rsidR="0042398A" w:rsidRDefault="0042398A" w:rsidP="008A4EEC">
      <w:pPr>
        <w:rPr>
          <w:rFonts w:ascii="Calibri" w:eastAsia="Times New Roman" w:hAnsi="Calibri" w:cs="Times New Roman"/>
          <w:color w:val="000000"/>
        </w:rPr>
      </w:pPr>
    </w:p>
    <w:p w14:paraId="6179BA47" w14:textId="77777777" w:rsidR="0042398A" w:rsidRDefault="0042398A" w:rsidP="008A4EEC">
      <w:pPr>
        <w:rPr>
          <w:rFonts w:ascii="Calibri" w:eastAsia="Times New Roman" w:hAnsi="Calibri" w:cs="Times New Roman"/>
          <w:color w:val="000000"/>
        </w:rPr>
      </w:pPr>
    </w:p>
    <w:p w14:paraId="15EC1F98" w14:textId="77777777" w:rsidR="0042398A" w:rsidRDefault="0042398A" w:rsidP="008A4EEC">
      <w:pPr>
        <w:rPr>
          <w:rFonts w:ascii="Calibri" w:eastAsia="Times New Roman" w:hAnsi="Calibri" w:cs="Times New Roman"/>
          <w:color w:val="000000"/>
        </w:rPr>
      </w:pPr>
    </w:p>
    <w:p w14:paraId="1E84CFFB" w14:textId="77777777" w:rsidR="0042398A" w:rsidRDefault="0042398A" w:rsidP="008A4EEC">
      <w:pPr>
        <w:rPr>
          <w:rFonts w:ascii="Calibri" w:eastAsia="Times New Roman" w:hAnsi="Calibri" w:cs="Times New Roman"/>
          <w:color w:val="000000"/>
        </w:rPr>
      </w:pPr>
    </w:p>
    <w:p w14:paraId="682B87C7" w14:textId="77777777" w:rsidR="0042398A" w:rsidRDefault="0042398A" w:rsidP="008A4EEC">
      <w:pPr>
        <w:rPr>
          <w:rFonts w:ascii="Calibri" w:eastAsia="Times New Roman" w:hAnsi="Calibri" w:cs="Times New Roman"/>
          <w:color w:val="000000"/>
        </w:rPr>
      </w:pPr>
    </w:p>
    <w:p w14:paraId="6904D4F4" w14:textId="77777777" w:rsidR="0042398A" w:rsidRDefault="0042398A" w:rsidP="008A4EEC">
      <w:pPr>
        <w:rPr>
          <w:rFonts w:ascii="Calibri" w:eastAsia="Times New Roman" w:hAnsi="Calibri" w:cs="Times New Roman"/>
          <w:color w:val="000000"/>
        </w:rPr>
      </w:pPr>
    </w:p>
    <w:p w14:paraId="796A718C" w14:textId="77777777" w:rsidR="0042398A" w:rsidRDefault="0042398A" w:rsidP="008A4EEC">
      <w:pPr>
        <w:rPr>
          <w:rFonts w:ascii="Calibri" w:eastAsia="Times New Roman" w:hAnsi="Calibri" w:cs="Times New Roman"/>
          <w:color w:val="000000"/>
        </w:rPr>
      </w:pPr>
    </w:p>
    <w:p w14:paraId="0393110F" w14:textId="77777777" w:rsidR="0042398A" w:rsidRDefault="0042398A" w:rsidP="008A4EEC">
      <w:pPr>
        <w:rPr>
          <w:rFonts w:ascii="Calibri" w:eastAsia="Times New Roman" w:hAnsi="Calibri" w:cs="Times New Roman"/>
          <w:color w:val="000000"/>
        </w:rPr>
      </w:pPr>
    </w:p>
    <w:p w14:paraId="3C02100A" w14:textId="77777777" w:rsidR="0042398A" w:rsidRDefault="0042398A" w:rsidP="008A4EEC">
      <w:pPr>
        <w:rPr>
          <w:rFonts w:ascii="Calibri" w:eastAsia="Times New Roman" w:hAnsi="Calibri" w:cs="Times New Roman"/>
          <w:color w:val="000000"/>
        </w:rPr>
      </w:pPr>
    </w:p>
    <w:p w14:paraId="362E3430" w14:textId="77777777" w:rsidR="0042398A" w:rsidRDefault="0042398A" w:rsidP="008A4EEC">
      <w:pPr>
        <w:rPr>
          <w:rFonts w:ascii="Calibri" w:eastAsia="Times New Roman" w:hAnsi="Calibri" w:cs="Times New Roman"/>
          <w:color w:val="000000"/>
        </w:rPr>
      </w:pPr>
    </w:p>
    <w:p w14:paraId="2594E623" w14:textId="77777777" w:rsidR="0042398A" w:rsidRDefault="0042398A" w:rsidP="008A4EEC">
      <w:pPr>
        <w:rPr>
          <w:rFonts w:ascii="Calibri" w:eastAsia="Times New Roman" w:hAnsi="Calibri" w:cs="Times New Roman"/>
          <w:color w:val="000000"/>
        </w:rPr>
      </w:pPr>
    </w:p>
    <w:p w14:paraId="5C4D983E" w14:textId="77777777" w:rsidR="0042398A" w:rsidRDefault="0042398A" w:rsidP="008A4EEC">
      <w:pPr>
        <w:rPr>
          <w:rFonts w:ascii="Calibri" w:eastAsia="Times New Roman" w:hAnsi="Calibri" w:cs="Times New Roman"/>
          <w:color w:val="000000"/>
        </w:rPr>
      </w:pPr>
    </w:p>
    <w:p w14:paraId="27D65FF6" w14:textId="77777777" w:rsidR="0042398A" w:rsidRDefault="0042398A" w:rsidP="008A4EEC">
      <w:pPr>
        <w:rPr>
          <w:rFonts w:ascii="Calibri" w:eastAsia="Times New Roman" w:hAnsi="Calibri" w:cs="Times New Roman"/>
          <w:color w:val="000000"/>
        </w:rPr>
      </w:pPr>
    </w:p>
    <w:p w14:paraId="662C273F" w14:textId="77777777" w:rsidR="0042398A" w:rsidRDefault="0042398A" w:rsidP="008A4EEC">
      <w:pPr>
        <w:rPr>
          <w:rFonts w:ascii="Calibri" w:eastAsia="Times New Roman" w:hAnsi="Calibri" w:cs="Times New Roman"/>
          <w:color w:val="000000"/>
        </w:rPr>
      </w:pPr>
    </w:p>
    <w:p w14:paraId="46EA95A5" w14:textId="77777777" w:rsidR="0042398A" w:rsidRDefault="0042398A" w:rsidP="008A4EEC">
      <w:pPr>
        <w:rPr>
          <w:rFonts w:ascii="Calibri" w:eastAsia="Times New Roman" w:hAnsi="Calibri" w:cs="Times New Roman"/>
          <w:color w:val="000000"/>
        </w:rPr>
      </w:pPr>
    </w:p>
    <w:p w14:paraId="307BBB27" w14:textId="77777777" w:rsidR="0042398A" w:rsidRDefault="0042398A" w:rsidP="008A4EEC">
      <w:pPr>
        <w:rPr>
          <w:rFonts w:ascii="Calibri" w:eastAsia="Times New Roman" w:hAnsi="Calibri" w:cs="Times New Roman"/>
          <w:color w:val="000000"/>
        </w:rPr>
      </w:pPr>
    </w:p>
    <w:p w14:paraId="15C78357" w14:textId="77777777" w:rsidR="0042398A" w:rsidRDefault="0042398A" w:rsidP="008A4EEC">
      <w:pPr>
        <w:rPr>
          <w:rFonts w:ascii="Calibri" w:eastAsia="Times New Roman" w:hAnsi="Calibri" w:cs="Times New Roman"/>
          <w:color w:val="000000"/>
        </w:rPr>
      </w:pPr>
    </w:p>
    <w:p w14:paraId="22064E9D" w14:textId="77777777" w:rsidR="0042398A" w:rsidRDefault="0042398A" w:rsidP="008A4EEC">
      <w:pPr>
        <w:rPr>
          <w:rFonts w:ascii="Calibri" w:eastAsia="Times New Roman" w:hAnsi="Calibri" w:cs="Times New Roman"/>
          <w:color w:val="000000"/>
        </w:rPr>
      </w:pPr>
    </w:p>
    <w:p w14:paraId="6702A4BD" w14:textId="77777777" w:rsidR="0042398A" w:rsidRDefault="0042398A" w:rsidP="008A4EEC">
      <w:pPr>
        <w:rPr>
          <w:rFonts w:ascii="Calibri" w:eastAsia="Times New Roman" w:hAnsi="Calibri" w:cs="Times New Roman"/>
          <w:color w:val="000000"/>
        </w:rPr>
      </w:pPr>
    </w:p>
    <w:p w14:paraId="6B76E057" w14:textId="77777777" w:rsidR="0042398A" w:rsidRDefault="0042398A" w:rsidP="008A4EEC">
      <w:pPr>
        <w:rPr>
          <w:rFonts w:ascii="Calibri" w:eastAsia="Times New Roman" w:hAnsi="Calibri" w:cs="Times New Roman"/>
          <w:color w:val="000000"/>
        </w:rPr>
      </w:pPr>
    </w:p>
    <w:p w14:paraId="4A896935" w14:textId="77777777" w:rsidR="0042398A" w:rsidRDefault="0042398A" w:rsidP="008A4EEC">
      <w:pPr>
        <w:rPr>
          <w:rFonts w:ascii="Calibri" w:eastAsia="Times New Roman" w:hAnsi="Calibri" w:cs="Times New Roman"/>
          <w:color w:val="000000"/>
        </w:rPr>
      </w:pPr>
    </w:p>
    <w:p w14:paraId="4C38560D" w14:textId="77777777" w:rsidR="00586C48" w:rsidRDefault="00586C48" w:rsidP="008A4EEC">
      <w:pPr>
        <w:rPr>
          <w:rFonts w:ascii="Calibri" w:eastAsia="Times New Roman" w:hAnsi="Calibri" w:cs="Times New Roman"/>
          <w:color w:val="000000"/>
        </w:rPr>
      </w:pPr>
    </w:p>
    <w:p w14:paraId="7250A8D4" w14:textId="77777777" w:rsidR="006564A8" w:rsidRPr="006564A8" w:rsidRDefault="006564A8" w:rsidP="008A4EEC">
      <w:pPr>
        <w:jc w:val="center"/>
        <w:rPr>
          <w:rFonts w:ascii="Calibri" w:eastAsia="Times New Roman" w:hAnsi="Calibri" w:cs="Times New Roman"/>
          <w:b/>
          <w:color w:val="000000"/>
          <w:sz w:val="28"/>
          <w:szCs w:val="28"/>
        </w:rPr>
      </w:pPr>
      <w:r w:rsidRPr="006564A8">
        <w:rPr>
          <w:rFonts w:ascii="Calibri" w:eastAsia="Times New Roman" w:hAnsi="Calibri" w:cs="Times New Roman"/>
          <w:b/>
          <w:color w:val="000000"/>
          <w:sz w:val="28"/>
          <w:szCs w:val="28"/>
        </w:rPr>
        <w:lastRenderedPageBreak/>
        <w:t>Appendix</w:t>
      </w:r>
    </w:p>
    <w:p w14:paraId="41E7B210" w14:textId="77777777" w:rsidR="006564A8" w:rsidRDefault="006564A8" w:rsidP="00FE5C26">
      <w:pPr>
        <w:rPr>
          <w:rFonts w:ascii="Calibri" w:eastAsia="Times New Roman" w:hAnsi="Calibri" w:cs="Times New Roman"/>
          <w:color w:val="000000"/>
        </w:rPr>
      </w:pPr>
    </w:p>
    <w:p w14:paraId="764464C3" w14:textId="314C92C0" w:rsidR="006564A8" w:rsidRPr="00FE5C26" w:rsidRDefault="006564A8" w:rsidP="00FE5C26">
      <w:pPr>
        <w:rPr>
          <w:rFonts w:ascii="Calibri" w:eastAsia="Times New Roman" w:hAnsi="Calibri" w:cs="Times New Roman"/>
          <w:color w:val="000000"/>
        </w:rPr>
      </w:pPr>
      <w:r w:rsidRPr="00586C48">
        <w:rPr>
          <w:rFonts w:ascii="Calibri" w:eastAsia="Times New Roman" w:hAnsi="Calibri" w:cs="Times New Roman"/>
          <w:b/>
          <w:color w:val="000000"/>
        </w:rPr>
        <w:t>Appendix 1</w:t>
      </w:r>
      <w:r>
        <w:rPr>
          <w:rFonts w:ascii="Calibri" w:eastAsia="Times New Roman" w:hAnsi="Calibri" w:cs="Times New Roman"/>
          <w:color w:val="000000"/>
        </w:rPr>
        <w:t xml:space="preserve"> – PTLC Board Meeting Agenda June 25, 2015</w:t>
      </w:r>
    </w:p>
    <w:p w14:paraId="6C432220" w14:textId="77777777" w:rsidR="006564A8" w:rsidRDefault="00460B81" w:rsidP="00BE4F21">
      <w:pPr>
        <w:rPr>
          <w:rFonts w:ascii="Calibri" w:eastAsia="Times New Roman" w:hAnsi="Calibri" w:cs="Times New Roman"/>
          <w:color w:val="000000"/>
        </w:rPr>
      </w:pPr>
      <w:r>
        <w:rPr>
          <w:rFonts w:ascii="Calibri" w:eastAsia="Times New Roman" w:hAnsi="Calibri" w:cs="Times New Roman"/>
          <w:color w:val="000000"/>
          <w:position w:val="-4"/>
        </w:rPr>
        <w:pict w14:anchorId="43582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pt">
            <v:imagedata r:id="rId11" o:title=""/>
          </v:shape>
        </w:pict>
      </w:r>
    </w:p>
    <w:p w14:paraId="3B8A8600" w14:textId="3E30E416" w:rsidR="00BE4F21" w:rsidRDefault="006564A8" w:rsidP="00BE4F21">
      <w:pP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45C66511" wp14:editId="0E386E9D">
            <wp:extent cx="5478145" cy="7094855"/>
            <wp:effectExtent l="0" t="0" r="0" b="0"/>
            <wp:docPr id="8" name="Picture 8" descr="Macintosh HD:Users:newowner:Desktop:Feb 20 Ownership change:Agenda-June-25-2015-Board-Meet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ewowner:Desktop:Feb 20 Ownership change:Agenda-June-25-2015-Board-Meeting.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74AB030B" w14:textId="77777777" w:rsidR="00B252F6" w:rsidRPr="00B252F6" w:rsidRDefault="00B252F6" w:rsidP="00BE4F21">
      <w:pPr>
        <w:rPr>
          <w:rFonts w:ascii="Calibri" w:eastAsia="Times New Roman" w:hAnsi="Calibri" w:cs="Times New Roman"/>
          <w:color w:val="000000"/>
        </w:rPr>
      </w:pPr>
    </w:p>
    <w:p w14:paraId="4C437615" w14:textId="13524E77" w:rsidR="0084537A" w:rsidRDefault="006564A8">
      <w:r>
        <w:rPr>
          <w:noProof/>
        </w:rPr>
        <w:lastRenderedPageBreak/>
        <w:drawing>
          <wp:inline distT="0" distB="0" distL="0" distR="0" wp14:anchorId="23C9E779" wp14:editId="6E6E2A1B">
            <wp:extent cx="5478145" cy="7094855"/>
            <wp:effectExtent l="0" t="0" r="8255" b="0"/>
            <wp:docPr id="9" name="Picture 9" descr="Macintosh HD:Users:newowner:Desktop:Agenda-June-25-2015-Board-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ewowner:Desktop:Agenda-June-25-2015-Board-Meet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5315D36D" w14:textId="77777777" w:rsidR="00BE4F21" w:rsidRDefault="00BE4F21"/>
    <w:p w14:paraId="5FA0C224" w14:textId="77777777" w:rsidR="00B252F6" w:rsidRDefault="00B252F6"/>
    <w:p w14:paraId="3544D6BD" w14:textId="77777777" w:rsidR="00B252F6" w:rsidRDefault="00B252F6"/>
    <w:p w14:paraId="2CEEED93" w14:textId="77777777" w:rsidR="00B252F6" w:rsidRDefault="00B252F6"/>
    <w:p w14:paraId="6F498A14" w14:textId="77777777" w:rsidR="00932B15" w:rsidRDefault="00932B15"/>
    <w:p w14:paraId="73431447" w14:textId="3A7B93E2" w:rsidR="00932B15" w:rsidRDefault="00932B15">
      <w:r w:rsidRPr="00E330D4">
        <w:rPr>
          <w:b/>
        </w:rPr>
        <w:t>Appendix 2</w:t>
      </w:r>
      <w:r w:rsidR="00586C48">
        <w:t xml:space="preserve"> - </w:t>
      </w:r>
      <w:r>
        <w:t>AVA Board Meeting Minutes May 22, 2015</w:t>
      </w:r>
    </w:p>
    <w:p w14:paraId="57CC8AB7" w14:textId="77777777" w:rsidR="0060685B" w:rsidRDefault="0060685B"/>
    <w:p w14:paraId="5CF28444" w14:textId="77777777" w:rsidR="0060685B" w:rsidRDefault="0060685B"/>
    <w:p w14:paraId="36203BB6" w14:textId="77777777" w:rsidR="0060685B" w:rsidRDefault="0060685B"/>
    <w:p w14:paraId="4A9B72B0" w14:textId="2FFA1C42" w:rsidR="0060685B" w:rsidRDefault="0060685B">
      <w:r>
        <w:rPr>
          <w:noProof/>
        </w:rPr>
        <w:drawing>
          <wp:inline distT="0" distB="0" distL="0" distR="0" wp14:anchorId="291AEC37" wp14:editId="3DB159BD">
            <wp:extent cx="5486400" cy="6243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 Board Meeting 1.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6243955"/>
                    </a:xfrm>
                    <a:prstGeom prst="rect">
                      <a:avLst/>
                    </a:prstGeom>
                  </pic:spPr>
                </pic:pic>
              </a:graphicData>
            </a:graphic>
          </wp:inline>
        </w:drawing>
      </w:r>
    </w:p>
    <w:p w14:paraId="121B3523" w14:textId="759AB298" w:rsidR="0060685B" w:rsidRDefault="0060685B">
      <w:r>
        <w:rPr>
          <w:noProof/>
        </w:rPr>
        <w:lastRenderedPageBreak/>
        <w:drawing>
          <wp:inline distT="0" distB="0" distL="0" distR="0" wp14:anchorId="4AC27817" wp14:editId="39C62EDB">
            <wp:extent cx="5486400" cy="4261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 Board meeting 2.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4261485"/>
                    </a:xfrm>
                    <a:prstGeom prst="rect">
                      <a:avLst/>
                    </a:prstGeom>
                  </pic:spPr>
                </pic:pic>
              </a:graphicData>
            </a:graphic>
          </wp:inline>
        </w:drawing>
      </w:r>
    </w:p>
    <w:sectPr w:rsidR="0060685B" w:rsidSect="00626DCC">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07FE8" w14:textId="77777777" w:rsidR="0042398A" w:rsidRDefault="0042398A" w:rsidP="002F233C">
      <w:r>
        <w:separator/>
      </w:r>
    </w:p>
  </w:endnote>
  <w:endnote w:type="continuationSeparator" w:id="0">
    <w:p w14:paraId="71CB01D3" w14:textId="77777777" w:rsidR="0042398A" w:rsidRDefault="0042398A" w:rsidP="002F2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52BE3" w14:textId="77777777" w:rsidR="0042398A" w:rsidRDefault="0042398A" w:rsidP="00306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63118D" w14:textId="77777777" w:rsidR="0042398A" w:rsidRDefault="0042398A" w:rsidP="0030693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77E41" w14:textId="77777777" w:rsidR="0042398A" w:rsidRDefault="0042398A" w:rsidP="00306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21B0">
      <w:rPr>
        <w:rStyle w:val="PageNumber"/>
        <w:noProof/>
      </w:rPr>
      <w:t>1</w:t>
    </w:r>
    <w:r>
      <w:rPr>
        <w:rStyle w:val="PageNumber"/>
      </w:rPr>
      <w:fldChar w:fldCharType="end"/>
    </w:r>
  </w:p>
  <w:p w14:paraId="4A0BE9DC" w14:textId="77777777" w:rsidR="0042398A" w:rsidRDefault="0042398A" w:rsidP="0030693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82665" w14:textId="77777777" w:rsidR="0042398A" w:rsidRDefault="0042398A" w:rsidP="002F233C">
      <w:r>
        <w:separator/>
      </w:r>
    </w:p>
  </w:footnote>
  <w:footnote w:type="continuationSeparator" w:id="0">
    <w:p w14:paraId="44994208" w14:textId="77777777" w:rsidR="0042398A" w:rsidRDefault="0042398A" w:rsidP="002F233C">
      <w:r>
        <w:continuationSeparator/>
      </w:r>
    </w:p>
  </w:footnote>
  <w:footnote w:id="1">
    <w:p w14:paraId="3860F688" w14:textId="42ECF390" w:rsidR="0042398A" w:rsidRPr="001F505E" w:rsidRDefault="0042398A" w:rsidP="001F505E">
      <w:pPr>
        <w:rPr>
          <w:sz w:val="22"/>
          <w:szCs w:val="22"/>
        </w:rPr>
      </w:pPr>
      <w:r>
        <w:rPr>
          <w:rStyle w:val="FootnoteReference"/>
        </w:rPr>
        <w:footnoteRef/>
      </w:r>
      <w:r>
        <w:t xml:space="preserve"> </w:t>
      </w:r>
      <w:r w:rsidRPr="001F505E">
        <w:rPr>
          <w:sz w:val="22"/>
          <w:szCs w:val="22"/>
        </w:rPr>
        <w:t>(Note: Arizona audit information is only available for PTLC from 2009-2016.  990 tax returns and Annual Financial reports go back to 2002.  The time period of data presented in this report will be noted.)</w:t>
      </w:r>
    </w:p>
  </w:footnote>
  <w:footnote w:id="2">
    <w:p w14:paraId="5B474003" w14:textId="637EE758" w:rsidR="0042398A" w:rsidRPr="00757BF0" w:rsidRDefault="0042398A">
      <w:pPr>
        <w:pStyle w:val="FootnoteText"/>
        <w:rPr>
          <w:sz w:val="22"/>
          <w:szCs w:val="22"/>
        </w:rPr>
      </w:pPr>
      <w:r>
        <w:rPr>
          <w:rStyle w:val="FootnoteReference"/>
        </w:rPr>
        <w:footnoteRef/>
      </w:r>
      <w:r>
        <w:t xml:space="preserve"> </w:t>
      </w:r>
      <w:r w:rsidRPr="00757BF0">
        <w:rPr>
          <w:sz w:val="22"/>
          <w:szCs w:val="22"/>
        </w:rPr>
        <w:t>The minutes of the PTLC May 21, 2015 meeting are available in the materials submitted by PTLC for the reassignment of the charter at June 15, 2015 ASBSC Board meeting at https://asbcs.az.gov/board-staff-information/meeting-dates-materials/archive</w:t>
      </w:r>
    </w:p>
  </w:footnote>
  <w:footnote w:id="3">
    <w:p w14:paraId="65FD70C1" w14:textId="2DAEE7A4" w:rsidR="0042398A" w:rsidRPr="00757BF0" w:rsidRDefault="0042398A">
      <w:pPr>
        <w:pStyle w:val="FootnoteText"/>
        <w:rPr>
          <w:sz w:val="22"/>
          <w:szCs w:val="22"/>
        </w:rPr>
      </w:pPr>
      <w:r w:rsidRPr="00757BF0">
        <w:rPr>
          <w:rStyle w:val="FootnoteReference"/>
          <w:sz w:val="22"/>
          <w:szCs w:val="22"/>
        </w:rPr>
        <w:footnoteRef/>
      </w:r>
      <w:r w:rsidRPr="00757BF0">
        <w:rPr>
          <w:sz w:val="22"/>
          <w:szCs w:val="22"/>
        </w:rPr>
        <w:t xml:space="preserve"> The minutes of the PTLC May 21, 2015 meeting are available in the materials submitted by PTLC for the reassignment of the charter at June 15, 2015 ASBSC Board meeting at https://asbcs.az.gov/board-staff-information/meeting-dates-materials/archive</w:t>
      </w:r>
    </w:p>
  </w:footnote>
  <w:footnote w:id="4">
    <w:p w14:paraId="05A72DD2" w14:textId="06677D16" w:rsidR="0042398A" w:rsidRPr="00C74404" w:rsidRDefault="0042398A" w:rsidP="00E330D4">
      <w:pPr>
        <w:pStyle w:val="FootnoteText"/>
        <w:rPr>
          <w:sz w:val="22"/>
          <w:szCs w:val="22"/>
        </w:rPr>
      </w:pPr>
      <w:r>
        <w:rPr>
          <w:rStyle w:val="FootnoteReference"/>
        </w:rPr>
        <w:footnoteRef/>
      </w:r>
      <w:r>
        <w:t xml:space="preserve"> </w:t>
      </w:r>
      <w:r w:rsidRPr="00C74404">
        <w:rPr>
          <w:sz w:val="22"/>
          <w:szCs w:val="22"/>
        </w:rPr>
        <w:t xml:space="preserve">PTLC’s 2016 990 tax return is not available yet to determine what income and expenditures </w:t>
      </w:r>
      <w:r>
        <w:rPr>
          <w:sz w:val="22"/>
          <w:szCs w:val="22"/>
        </w:rPr>
        <w:t>were last year.</w:t>
      </w:r>
    </w:p>
  </w:footnote>
  <w:footnote w:id="5">
    <w:p w14:paraId="0050ABC8" w14:textId="398203DB" w:rsidR="0042398A" w:rsidRDefault="0042398A">
      <w:pPr>
        <w:pStyle w:val="FootnoteText"/>
      </w:pPr>
      <w:r>
        <w:rPr>
          <w:rStyle w:val="FootnoteReference"/>
        </w:rPr>
        <w:footnoteRef/>
      </w:r>
      <w:r>
        <w:t xml:space="preserve"> </w:t>
      </w:r>
      <w:r>
        <w:rPr>
          <w:sz w:val="22"/>
          <w:szCs w:val="22"/>
        </w:rPr>
        <w:t>I</w:t>
      </w:r>
      <w:r w:rsidRPr="00E330D4">
        <w:rPr>
          <w:sz w:val="22"/>
          <w:szCs w:val="22"/>
        </w:rPr>
        <w:t xml:space="preserve">t is possible that the purchase of the properties was not brought to the Board at the time of purchase and legal counsel pointed out the error.  </w:t>
      </w:r>
    </w:p>
  </w:footnote>
  <w:footnote w:id="6">
    <w:p w14:paraId="77EB1782" w14:textId="3AE7DCDB" w:rsidR="0042398A" w:rsidRPr="00C74404" w:rsidRDefault="0042398A">
      <w:pPr>
        <w:pStyle w:val="FootnoteText"/>
        <w:rPr>
          <w:sz w:val="22"/>
          <w:szCs w:val="22"/>
        </w:rPr>
      </w:pPr>
      <w:r w:rsidRPr="00C74404">
        <w:rPr>
          <w:rStyle w:val="FootnoteReference"/>
          <w:sz w:val="22"/>
          <w:szCs w:val="22"/>
        </w:rPr>
        <w:footnoteRef/>
      </w:r>
      <w:r w:rsidRPr="00C74404">
        <w:rPr>
          <w:sz w:val="22"/>
          <w:szCs w:val="22"/>
        </w:rPr>
        <w:t xml:space="preserve"> See Appendix 1</w:t>
      </w:r>
      <w:r>
        <w:rPr>
          <w:sz w:val="22"/>
          <w:szCs w:val="22"/>
        </w:rPr>
        <w:t xml:space="preserve"> for the complete PTLC Board agenda for June 25, 2015</w:t>
      </w:r>
    </w:p>
  </w:footnote>
  <w:footnote w:id="7">
    <w:p w14:paraId="7F89D9AB" w14:textId="2A935F7E" w:rsidR="0042398A" w:rsidRPr="00C24499" w:rsidRDefault="0042398A">
      <w:pPr>
        <w:pStyle w:val="FootnoteText"/>
        <w:rPr>
          <w:sz w:val="22"/>
          <w:szCs w:val="22"/>
        </w:rPr>
      </w:pPr>
      <w:r>
        <w:rPr>
          <w:rStyle w:val="FootnoteReference"/>
        </w:rPr>
        <w:footnoteRef/>
      </w:r>
      <w:r>
        <w:t xml:space="preserve">  </w:t>
      </w:r>
      <w:r w:rsidRPr="00C24499">
        <w:rPr>
          <w:sz w:val="22"/>
          <w:szCs w:val="22"/>
        </w:rPr>
        <w:t>June 15, 2015 ASBSC Board meeting at https://asbcs.az.gov/board-staff-information/meeting-dates-materials/archive</w:t>
      </w:r>
    </w:p>
  </w:footnote>
  <w:footnote w:id="8">
    <w:p w14:paraId="1930FBE6" w14:textId="1176CAC6" w:rsidR="0042398A" w:rsidRPr="00C74404" w:rsidRDefault="0042398A">
      <w:pPr>
        <w:pStyle w:val="FootnoteText"/>
        <w:rPr>
          <w:sz w:val="22"/>
          <w:szCs w:val="22"/>
        </w:rPr>
      </w:pPr>
      <w:r>
        <w:rPr>
          <w:rStyle w:val="FootnoteReference"/>
        </w:rPr>
        <w:footnoteRef/>
      </w:r>
      <w:r>
        <w:t xml:space="preserve"> </w:t>
      </w:r>
      <w:r w:rsidRPr="00C24499">
        <w:rPr>
          <w:sz w:val="22"/>
          <w:szCs w:val="22"/>
        </w:rPr>
        <w:t>June 15, 2015 ASBSC Board meeting at https://asbcs.az.gov/board-staff-information/meeting-dates-materials/archive</w:t>
      </w:r>
    </w:p>
  </w:footnote>
  <w:footnote w:id="9">
    <w:p w14:paraId="6CB87ECB" w14:textId="1FCF418F" w:rsidR="0042398A" w:rsidRDefault="0042398A">
      <w:pPr>
        <w:pStyle w:val="FootnoteText"/>
      </w:pPr>
      <w:r>
        <w:rPr>
          <w:rStyle w:val="FootnoteReference"/>
        </w:rPr>
        <w:footnoteRef/>
      </w:r>
      <w:r>
        <w:t xml:space="preserve"> </w:t>
      </w:r>
      <w:r w:rsidRPr="00563D8C">
        <w:rPr>
          <w:sz w:val="22"/>
          <w:szCs w:val="22"/>
        </w:rPr>
        <w:t>Arizona Corporation Commission at http://ecorp.azcc.gov/Details/Corp?corpId=%2009686793</w:t>
      </w:r>
    </w:p>
  </w:footnote>
  <w:footnote w:id="10">
    <w:p w14:paraId="531C3261" w14:textId="349ED533" w:rsidR="0042398A" w:rsidRPr="00C24499" w:rsidRDefault="0042398A" w:rsidP="00C24499">
      <w:pPr>
        <w:pStyle w:val="FootnoteText"/>
        <w:rPr>
          <w:sz w:val="22"/>
          <w:szCs w:val="22"/>
        </w:rPr>
      </w:pPr>
      <w:r w:rsidRPr="00C24499">
        <w:rPr>
          <w:rStyle w:val="FootnoteReference"/>
          <w:sz w:val="22"/>
          <w:szCs w:val="22"/>
        </w:rPr>
        <w:footnoteRef/>
      </w:r>
      <w:r w:rsidRPr="00C24499">
        <w:rPr>
          <w:sz w:val="22"/>
          <w:szCs w:val="22"/>
        </w:rPr>
        <w:t xml:space="preserve"> </w:t>
      </w:r>
      <w:r>
        <w:rPr>
          <w:sz w:val="22"/>
          <w:szCs w:val="22"/>
        </w:rPr>
        <w:t xml:space="preserve">Data collected from PTLC IRS 990 returns available at </w:t>
      </w:r>
      <w:r w:rsidRPr="00B252F6">
        <w:rPr>
          <w:sz w:val="22"/>
          <w:szCs w:val="22"/>
        </w:rPr>
        <w:t>https://www.guidestar.org/PartnerReport.aspx?ein=86-1017522&amp;Partner=Demo</w:t>
      </w:r>
    </w:p>
  </w:footnote>
  <w:footnote w:id="11">
    <w:p w14:paraId="1318AB05" w14:textId="77777777" w:rsidR="0042398A" w:rsidRPr="00563D8C" w:rsidRDefault="0042398A" w:rsidP="00B252F6">
      <w:pPr>
        <w:pStyle w:val="FootnoteText"/>
        <w:rPr>
          <w:sz w:val="22"/>
          <w:szCs w:val="22"/>
        </w:rPr>
      </w:pPr>
      <w:r>
        <w:rPr>
          <w:rStyle w:val="FootnoteReference"/>
        </w:rPr>
        <w:footnoteRef/>
      </w:r>
      <w:r>
        <w:t xml:space="preserve"> “</w:t>
      </w:r>
      <w:r w:rsidRPr="00563D8C">
        <w:rPr>
          <w:rFonts w:eastAsia="Times New Roman" w:cs="Times New Roman"/>
          <w:sz w:val="22"/>
          <w:szCs w:val="22"/>
        </w:rPr>
        <w:t xml:space="preserve">ALEKS is an adaptive, online math program that uses artificial intelligence and open-response questioning to identify precisely what each student knows and doesn't know.”  </w:t>
      </w:r>
      <w:hyperlink r:id="rId1" w:history="1">
        <w:r w:rsidRPr="00563D8C">
          <w:rPr>
            <w:rStyle w:val="Hyperlink"/>
            <w:rFonts w:eastAsia="Times New Roman" w:cs="Times New Roman"/>
            <w:color w:val="auto"/>
            <w:sz w:val="22"/>
            <w:szCs w:val="22"/>
          </w:rPr>
          <w:t>https://www.aleks.com/k12</w:t>
        </w:r>
      </w:hyperlink>
      <w:r w:rsidRPr="00563D8C">
        <w:rPr>
          <w:rFonts w:eastAsia="Times New Roman" w:cs="Times New Roman"/>
          <w:sz w:val="22"/>
          <w:szCs w:val="22"/>
        </w:rPr>
        <w:t xml:space="preserve"> </w:t>
      </w:r>
    </w:p>
  </w:footnote>
  <w:footnote w:id="12">
    <w:p w14:paraId="596F158E" w14:textId="33D86D64" w:rsidR="0042398A" w:rsidRPr="007B1A0B" w:rsidRDefault="0042398A">
      <w:pPr>
        <w:pStyle w:val="FootnoteText"/>
        <w:rPr>
          <w:sz w:val="22"/>
          <w:szCs w:val="22"/>
        </w:rPr>
      </w:pPr>
      <w:r>
        <w:rPr>
          <w:rStyle w:val="FootnoteReference"/>
        </w:rPr>
        <w:footnoteRef/>
      </w:r>
      <w:r>
        <w:t xml:space="preserve"> </w:t>
      </w:r>
      <w:r w:rsidRPr="007B1A0B">
        <w:rPr>
          <w:sz w:val="22"/>
          <w:szCs w:val="22"/>
        </w:rPr>
        <w:t>The Charter Board has been contacted to determine the official transfer date.  They have not responded as of publication.</w:t>
      </w:r>
    </w:p>
  </w:footnote>
  <w:footnote w:id="13">
    <w:p w14:paraId="26234028" w14:textId="25E6B627" w:rsidR="0042398A" w:rsidRDefault="0042398A">
      <w:pPr>
        <w:pStyle w:val="FootnoteText"/>
      </w:pPr>
      <w:r w:rsidRPr="007B1A0B">
        <w:rPr>
          <w:rStyle w:val="FootnoteReference"/>
          <w:sz w:val="22"/>
          <w:szCs w:val="22"/>
        </w:rPr>
        <w:footnoteRef/>
      </w:r>
      <w:r w:rsidRPr="007B1A0B">
        <w:rPr>
          <w:sz w:val="22"/>
          <w:szCs w:val="22"/>
        </w:rPr>
        <w:t xml:space="preserve"> ecorp.azcc.gov/Details/Corp?corpId= 20200192</w:t>
      </w:r>
    </w:p>
  </w:footnote>
  <w:footnote w:id="14">
    <w:p w14:paraId="78E35487" w14:textId="77777777" w:rsidR="0042398A" w:rsidRPr="00B252F6" w:rsidRDefault="0042398A" w:rsidP="009A1A18">
      <w:pPr>
        <w:pStyle w:val="FootnoteText"/>
        <w:rPr>
          <w:sz w:val="22"/>
          <w:szCs w:val="22"/>
        </w:rPr>
      </w:pPr>
      <w:r>
        <w:rPr>
          <w:rStyle w:val="FootnoteReference"/>
        </w:rPr>
        <w:footnoteRef/>
      </w:r>
      <w:r>
        <w:t xml:space="preserve">   </w:t>
      </w:r>
      <w:hyperlink r:id="rId2" w:history="1">
        <w:r w:rsidRPr="00B252F6">
          <w:rPr>
            <w:rStyle w:val="Hyperlink"/>
            <w:color w:val="auto"/>
            <w:sz w:val="22"/>
            <w:szCs w:val="22"/>
            <w:u w:val="none"/>
          </w:rPr>
          <w:t>https://www.strongmind.com/assets/Inspire%20Adds%20StrongMind%20Curriculum.pdf</w:t>
        </w:r>
      </w:hyperlink>
    </w:p>
  </w:footnote>
  <w:footnote w:id="15">
    <w:p w14:paraId="51D2F564" w14:textId="13055BE1" w:rsidR="0042398A" w:rsidRPr="00B252F6" w:rsidRDefault="0042398A" w:rsidP="00B252F6">
      <w:pPr>
        <w:rPr>
          <w:sz w:val="22"/>
          <w:szCs w:val="22"/>
        </w:rPr>
      </w:pPr>
      <w:r w:rsidRPr="00B252F6">
        <w:rPr>
          <w:rStyle w:val="FootnoteReference"/>
          <w:sz w:val="22"/>
          <w:szCs w:val="22"/>
        </w:rPr>
        <w:footnoteRef/>
      </w:r>
      <w:r w:rsidRPr="00B252F6">
        <w:rPr>
          <w:sz w:val="22"/>
          <w:szCs w:val="22"/>
        </w:rPr>
        <w:t xml:space="preserve">  </w:t>
      </w:r>
      <w:hyperlink r:id="rId3" w:history="1">
        <w:r w:rsidRPr="00B252F6">
          <w:rPr>
            <w:rStyle w:val="Hyperlink"/>
            <w:color w:val="auto"/>
            <w:sz w:val="22"/>
            <w:szCs w:val="22"/>
            <w:u w:val="none"/>
          </w:rPr>
          <w:t>http://magicvalley.com/news/local/education/virtual-high-school-enrolling-students/article_aa32f1cf-ea46-5eb4-ac8b-6421fda270db.html</w:t>
        </w:r>
      </w:hyperlink>
    </w:p>
  </w:footnote>
  <w:footnote w:id="16">
    <w:p w14:paraId="6EE4FF90" w14:textId="3B140168" w:rsidR="0042398A" w:rsidRPr="00B252F6" w:rsidRDefault="0042398A">
      <w:pPr>
        <w:pStyle w:val="FootnoteText"/>
        <w:rPr>
          <w:sz w:val="22"/>
          <w:szCs w:val="22"/>
        </w:rPr>
      </w:pPr>
      <w:r w:rsidRPr="00B252F6">
        <w:rPr>
          <w:rStyle w:val="FootnoteReference"/>
          <w:sz w:val="22"/>
          <w:szCs w:val="22"/>
        </w:rPr>
        <w:footnoteRef/>
      </w:r>
      <w:r w:rsidRPr="00B252F6">
        <w:rPr>
          <w:sz w:val="22"/>
          <w:szCs w:val="22"/>
        </w:rPr>
        <w:t xml:space="preserve"> See Table 2</w:t>
      </w:r>
    </w:p>
  </w:footnote>
  <w:footnote w:id="17">
    <w:p w14:paraId="42BE8AAF" w14:textId="1FA1FCFC" w:rsidR="0042398A" w:rsidRPr="00932B15" w:rsidRDefault="0042398A">
      <w:pPr>
        <w:pStyle w:val="FootnoteText"/>
        <w:rPr>
          <w:sz w:val="22"/>
          <w:szCs w:val="22"/>
        </w:rPr>
      </w:pPr>
      <w:r w:rsidRPr="00B252F6">
        <w:rPr>
          <w:rStyle w:val="FootnoteReference"/>
          <w:sz w:val="22"/>
          <w:szCs w:val="22"/>
        </w:rPr>
        <w:footnoteRef/>
      </w:r>
      <w:r w:rsidRPr="00B252F6">
        <w:rPr>
          <w:sz w:val="22"/>
          <w:szCs w:val="22"/>
        </w:rPr>
        <w:t xml:space="preserve">  Damian Creamer in a statement at the Arizona Charter Board Meeting June 15, 2015 at https://asbcs.az.gov/board-staff-information/meeting-dates-materials/archive</w:t>
      </w:r>
    </w:p>
  </w:footnote>
  <w:footnote w:id="18">
    <w:p w14:paraId="082767C1" w14:textId="77777777" w:rsidR="0042398A" w:rsidRPr="009469C6" w:rsidRDefault="0042398A">
      <w:pPr>
        <w:pStyle w:val="FootnoteText"/>
        <w:rPr>
          <w:sz w:val="22"/>
          <w:szCs w:val="22"/>
        </w:rPr>
      </w:pPr>
      <w:r w:rsidRPr="009469C6">
        <w:rPr>
          <w:rStyle w:val="FootnoteReference"/>
          <w:sz w:val="22"/>
          <w:szCs w:val="22"/>
        </w:rPr>
        <w:footnoteRef/>
      </w:r>
      <w:r w:rsidRPr="009469C6">
        <w:rPr>
          <w:sz w:val="22"/>
          <w:szCs w:val="22"/>
        </w:rPr>
        <w:t xml:space="preserve"> Both reports and all supporting data are available at azcsa.org</w:t>
      </w:r>
    </w:p>
  </w:footnote>
  <w:footnote w:id="19">
    <w:p w14:paraId="3A346F2A" w14:textId="5EA35874" w:rsidR="0042398A" w:rsidRPr="008A4EEC" w:rsidRDefault="0042398A">
      <w:pPr>
        <w:pStyle w:val="FootnoteText"/>
        <w:rPr>
          <w:sz w:val="22"/>
          <w:szCs w:val="22"/>
        </w:rPr>
      </w:pPr>
      <w:r>
        <w:rPr>
          <w:rStyle w:val="FootnoteReference"/>
        </w:rPr>
        <w:footnoteRef/>
      </w:r>
      <w:r>
        <w:t xml:space="preserve"> </w:t>
      </w:r>
      <w:r w:rsidRPr="008A4EEC">
        <w:rPr>
          <w:sz w:val="22"/>
          <w:szCs w:val="22"/>
        </w:rPr>
        <w:t>The audio of the June 15, 2015 Charter Board meeting is available at https://asbcs.az.gov/board-staff-information/meeting-dates-materials/archive</w:t>
      </w:r>
    </w:p>
  </w:footnote>
  <w:footnote w:id="20">
    <w:p w14:paraId="13995115" w14:textId="11335069" w:rsidR="0042398A" w:rsidRDefault="0042398A">
      <w:pPr>
        <w:pStyle w:val="FootnoteText"/>
      </w:pPr>
      <w:r>
        <w:rPr>
          <w:rStyle w:val="FootnoteReference"/>
        </w:rPr>
        <w:footnoteRef/>
      </w:r>
      <w:r>
        <w:t xml:space="preserve"> </w:t>
      </w:r>
      <w:r w:rsidRPr="0065096E">
        <w:rPr>
          <w:sz w:val="22"/>
          <w:szCs w:val="22"/>
        </w:rPr>
        <w:t>I.R.S. Guidelines for Charter Schools at https://www.irs.gov/irm/part4/irm_04-076-008.html#d0e619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E699E"/>
    <w:multiLevelType w:val="hybridMultilevel"/>
    <w:tmpl w:val="C8CCBDB6"/>
    <w:lvl w:ilvl="0" w:tplc="4440CFD6">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5A8"/>
    <w:rsid w:val="000016E9"/>
    <w:rsid w:val="0001556D"/>
    <w:rsid w:val="00117FA6"/>
    <w:rsid w:val="00154B04"/>
    <w:rsid w:val="001B6934"/>
    <w:rsid w:val="001E16C8"/>
    <w:rsid w:val="001F505E"/>
    <w:rsid w:val="00270AFB"/>
    <w:rsid w:val="002D155E"/>
    <w:rsid w:val="002E64D9"/>
    <w:rsid w:val="002F233C"/>
    <w:rsid w:val="00306934"/>
    <w:rsid w:val="00370111"/>
    <w:rsid w:val="003C715A"/>
    <w:rsid w:val="0042398A"/>
    <w:rsid w:val="00460B81"/>
    <w:rsid w:val="004A0EE3"/>
    <w:rsid w:val="005100EC"/>
    <w:rsid w:val="00563D8C"/>
    <w:rsid w:val="00572E6A"/>
    <w:rsid w:val="005830A6"/>
    <w:rsid w:val="00586C48"/>
    <w:rsid w:val="005C6403"/>
    <w:rsid w:val="0060685B"/>
    <w:rsid w:val="00626DCC"/>
    <w:rsid w:val="0065096E"/>
    <w:rsid w:val="006564A8"/>
    <w:rsid w:val="0066055E"/>
    <w:rsid w:val="006D194D"/>
    <w:rsid w:val="00757BF0"/>
    <w:rsid w:val="007A3E4D"/>
    <w:rsid w:val="007B1A0B"/>
    <w:rsid w:val="007C7316"/>
    <w:rsid w:val="007D6A79"/>
    <w:rsid w:val="007E7A3E"/>
    <w:rsid w:val="00800710"/>
    <w:rsid w:val="008017F2"/>
    <w:rsid w:val="008434AD"/>
    <w:rsid w:val="0084537A"/>
    <w:rsid w:val="008921AC"/>
    <w:rsid w:val="008A4EEC"/>
    <w:rsid w:val="008B1848"/>
    <w:rsid w:val="00932B15"/>
    <w:rsid w:val="009469C6"/>
    <w:rsid w:val="009718DD"/>
    <w:rsid w:val="009A1A18"/>
    <w:rsid w:val="009B7818"/>
    <w:rsid w:val="00A033C7"/>
    <w:rsid w:val="00A048C8"/>
    <w:rsid w:val="00A55C15"/>
    <w:rsid w:val="00AD4DAE"/>
    <w:rsid w:val="00AE3ED2"/>
    <w:rsid w:val="00B252F6"/>
    <w:rsid w:val="00BB0567"/>
    <w:rsid w:val="00BD5A76"/>
    <w:rsid w:val="00BE4F21"/>
    <w:rsid w:val="00C24499"/>
    <w:rsid w:val="00C31DBA"/>
    <w:rsid w:val="00C55B19"/>
    <w:rsid w:val="00C74404"/>
    <w:rsid w:val="00CB2847"/>
    <w:rsid w:val="00CB53B7"/>
    <w:rsid w:val="00D055A8"/>
    <w:rsid w:val="00D157E9"/>
    <w:rsid w:val="00D46206"/>
    <w:rsid w:val="00D616F5"/>
    <w:rsid w:val="00DA380C"/>
    <w:rsid w:val="00DC21B0"/>
    <w:rsid w:val="00DC6F98"/>
    <w:rsid w:val="00DF2BEA"/>
    <w:rsid w:val="00E330D4"/>
    <w:rsid w:val="00E43D22"/>
    <w:rsid w:val="00E45EDA"/>
    <w:rsid w:val="00E7000E"/>
    <w:rsid w:val="00E7038C"/>
    <w:rsid w:val="00EA3172"/>
    <w:rsid w:val="00EB44EF"/>
    <w:rsid w:val="00ED636A"/>
    <w:rsid w:val="00F14410"/>
    <w:rsid w:val="00F233E6"/>
    <w:rsid w:val="00FA6897"/>
    <w:rsid w:val="00FC196C"/>
    <w:rsid w:val="00FE5C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D0EFE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0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00EC"/>
    <w:rPr>
      <w:rFonts w:ascii="Lucida Grande" w:hAnsi="Lucida Grande" w:cs="Lucida Grande"/>
      <w:sz w:val="18"/>
      <w:szCs w:val="18"/>
    </w:rPr>
  </w:style>
  <w:style w:type="paragraph" w:styleId="FootnoteText">
    <w:name w:val="footnote text"/>
    <w:basedOn w:val="Normal"/>
    <w:link w:val="FootnoteTextChar"/>
    <w:uiPriority w:val="99"/>
    <w:unhideWhenUsed/>
    <w:rsid w:val="002F233C"/>
  </w:style>
  <w:style w:type="character" w:customStyle="1" w:styleId="FootnoteTextChar">
    <w:name w:val="Footnote Text Char"/>
    <w:basedOn w:val="DefaultParagraphFont"/>
    <w:link w:val="FootnoteText"/>
    <w:uiPriority w:val="99"/>
    <w:rsid w:val="002F233C"/>
  </w:style>
  <w:style w:type="character" w:styleId="FootnoteReference">
    <w:name w:val="footnote reference"/>
    <w:basedOn w:val="DefaultParagraphFont"/>
    <w:uiPriority w:val="99"/>
    <w:unhideWhenUsed/>
    <w:rsid w:val="002F233C"/>
    <w:rPr>
      <w:vertAlign w:val="superscript"/>
    </w:rPr>
  </w:style>
  <w:style w:type="character" w:styleId="Hyperlink">
    <w:name w:val="Hyperlink"/>
    <w:basedOn w:val="DefaultParagraphFont"/>
    <w:uiPriority w:val="99"/>
    <w:unhideWhenUsed/>
    <w:rsid w:val="00DF2BEA"/>
    <w:rPr>
      <w:color w:val="0000FF" w:themeColor="hyperlink"/>
      <w:u w:val="single"/>
    </w:rPr>
  </w:style>
  <w:style w:type="paragraph" w:styleId="Footer">
    <w:name w:val="footer"/>
    <w:basedOn w:val="Normal"/>
    <w:link w:val="FooterChar"/>
    <w:uiPriority w:val="99"/>
    <w:unhideWhenUsed/>
    <w:rsid w:val="00306934"/>
    <w:pPr>
      <w:tabs>
        <w:tab w:val="center" w:pos="4320"/>
        <w:tab w:val="right" w:pos="8640"/>
      </w:tabs>
    </w:pPr>
  </w:style>
  <w:style w:type="character" w:customStyle="1" w:styleId="FooterChar">
    <w:name w:val="Footer Char"/>
    <w:basedOn w:val="DefaultParagraphFont"/>
    <w:link w:val="Footer"/>
    <w:uiPriority w:val="99"/>
    <w:rsid w:val="00306934"/>
  </w:style>
  <w:style w:type="character" w:styleId="PageNumber">
    <w:name w:val="page number"/>
    <w:basedOn w:val="DefaultParagraphFont"/>
    <w:uiPriority w:val="99"/>
    <w:semiHidden/>
    <w:unhideWhenUsed/>
    <w:rsid w:val="00306934"/>
  </w:style>
  <w:style w:type="paragraph" w:styleId="ListParagraph">
    <w:name w:val="List Paragraph"/>
    <w:basedOn w:val="Normal"/>
    <w:uiPriority w:val="34"/>
    <w:qFormat/>
    <w:rsid w:val="0060685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0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00EC"/>
    <w:rPr>
      <w:rFonts w:ascii="Lucida Grande" w:hAnsi="Lucida Grande" w:cs="Lucida Grande"/>
      <w:sz w:val="18"/>
      <w:szCs w:val="18"/>
    </w:rPr>
  </w:style>
  <w:style w:type="paragraph" w:styleId="FootnoteText">
    <w:name w:val="footnote text"/>
    <w:basedOn w:val="Normal"/>
    <w:link w:val="FootnoteTextChar"/>
    <w:uiPriority w:val="99"/>
    <w:unhideWhenUsed/>
    <w:rsid w:val="002F233C"/>
  </w:style>
  <w:style w:type="character" w:customStyle="1" w:styleId="FootnoteTextChar">
    <w:name w:val="Footnote Text Char"/>
    <w:basedOn w:val="DefaultParagraphFont"/>
    <w:link w:val="FootnoteText"/>
    <w:uiPriority w:val="99"/>
    <w:rsid w:val="002F233C"/>
  </w:style>
  <w:style w:type="character" w:styleId="FootnoteReference">
    <w:name w:val="footnote reference"/>
    <w:basedOn w:val="DefaultParagraphFont"/>
    <w:uiPriority w:val="99"/>
    <w:unhideWhenUsed/>
    <w:rsid w:val="002F233C"/>
    <w:rPr>
      <w:vertAlign w:val="superscript"/>
    </w:rPr>
  </w:style>
  <w:style w:type="character" w:styleId="Hyperlink">
    <w:name w:val="Hyperlink"/>
    <w:basedOn w:val="DefaultParagraphFont"/>
    <w:uiPriority w:val="99"/>
    <w:unhideWhenUsed/>
    <w:rsid w:val="00DF2BEA"/>
    <w:rPr>
      <w:color w:val="0000FF" w:themeColor="hyperlink"/>
      <w:u w:val="single"/>
    </w:rPr>
  </w:style>
  <w:style w:type="paragraph" w:styleId="Footer">
    <w:name w:val="footer"/>
    <w:basedOn w:val="Normal"/>
    <w:link w:val="FooterChar"/>
    <w:uiPriority w:val="99"/>
    <w:unhideWhenUsed/>
    <w:rsid w:val="00306934"/>
    <w:pPr>
      <w:tabs>
        <w:tab w:val="center" w:pos="4320"/>
        <w:tab w:val="right" w:pos="8640"/>
      </w:tabs>
    </w:pPr>
  </w:style>
  <w:style w:type="character" w:customStyle="1" w:styleId="FooterChar">
    <w:name w:val="Footer Char"/>
    <w:basedOn w:val="DefaultParagraphFont"/>
    <w:link w:val="Footer"/>
    <w:uiPriority w:val="99"/>
    <w:rsid w:val="00306934"/>
  </w:style>
  <w:style w:type="character" w:styleId="PageNumber">
    <w:name w:val="page number"/>
    <w:basedOn w:val="DefaultParagraphFont"/>
    <w:uiPriority w:val="99"/>
    <w:semiHidden/>
    <w:unhideWhenUsed/>
    <w:rsid w:val="00306934"/>
  </w:style>
  <w:style w:type="paragraph" w:styleId="ListParagraph">
    <w:name w:val="List Paragraph"/>
    <w:basedOn w:val="Normal"/>
    <w:uiPriority w:val="34"/>
    <w:qFormat/>
    <w:rsid w:val="006068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870877">
      <w:bodyDiv w:val="1"/>
      <w:marLeft w:val="0"/>
      <w:marRight w:val="0"/>
      <w:marTop w:val="0"/>
      <w:marBottom w:val="0"/>
      <w:divBdr>
        <w:top w:val="none" w:sz="0" w:space="0" w:color="auto"/>
        <w:left w:val="none" w:sz="0" w:space="0" w:color="auto"/>
        <w:bottom w:val="none" w:sz="0" w:space="0" w:color="auto"/>
        <w:right w:val="none" w:sz="0" w:space="0" w:color="auto"/>
      </w:divBdr>
    </w:div>
    <w:div w:id="262307701">
      <w:bodyDiv w:val="1"/>
      <w:marLeft w:val="0"/>
      <w:marRight w:val="0"/>
      <w:marTop w:val="0"/>
      <w:marBottom w:val="0"/>
      <w:divBdr>
        <w:top w:val="none" w:sz="0" w:space="0" w:color="auto"/>
        <w:left w:val="none" w:sz="0" w:space="0" w:color="auto"/>
        <w:bottom w:val="none" w:sz="0" w:space="0" w:color="auto"/>
        <w:right w:val="none" w:sz="0" w:space="0" w:color="auto"/>
      </w:divBdr>
    </w:div>
    <w:div w:id="279646778">
      <w:bodyDiv w:val="1"/>
      <w:marLeft w:val="0"/>
      <w:marRight w:val="0"/>
      <w:marTop w:val="0"/>
      <w:marBottom w:val="0"/>
      <w:divBdr>
        <w:top w:val="none" w:sz="0" w:space="0" w:color="auto"/>
        <w:left w:val="none" w:sz="0" w:space="0" w:color="auto"/>
        <w:bottom w:val="none" w:sz="0" w:space="0" w:color="auto"/>
        <w:right w:val="none" w:sz="0" w:space="0" w:color="auto"/>
      </w:divBdr>
    </w:div>
    <w:div w:id="473984230">
      <w:bodyDiv w:val="1"/>
      <w:marLeft w:val="0"/>
      <w:marRight w:val="0"/>
      <w:marTop w:val="0"/>
      <w:marBottom w:val="0"/>
      <w:divBdr>
        <w:top w:val="none" w:sz="0" w:space="0" w:color="auto"/>
        <w:left w:val="none" w:sz="0" w:space="0" w:color="auto"/>
        <w:bottom w:val="none" w:sz="0" w:space="0" w:color="auto"/>
        <w:right w:val="none" w:sz="0" w:space="0" w:color="auto"/>
      </w:divBdr>
    </w:div>
    <w:div w:id="716780892">
      <w:bodyDiv w:val="1"/>
      <w:marLeft w:val="0"/>
      <w:marRight w:val="0"/>
      <w:marTop w:val="0"/>
      <w:marBottom w:val="0"/>
      <w:divBdr>
        <w:top w:val="none" w:sz="0" w:space="0" w:color="auto"/>
        <w:left w:val="none" w:sz="0" w:space="0" w:color="auto"/>
        <w:bottom w:val="none" w:sz="0" w:space="0" w:color="auto"/>
        <w:right w:val="none" w:sz="0" w:space="0" w:color="auto"/>
      </w:divBdr>
    </w:div>
    <w:div w:id="943728675">
      <w:bodyDiv w:val="1"/>
      <w:marLeft w:val="0"/>
      <w:marRight w:val="0"/>
      <w:marTop w:val="0"/>
      <w:marBottom w:val="0"/>
      <w:divBdr>
        <w:top w:val="none" w:sz="0" w:space="0" w:color="auto"/>
        <w:left w:val="none" w:sz="0" w:space="0" w:color="auto"/>
        <w:bottom w:val="none" w:sz="0" w:space="0" w:color="auto"/>
        <w:right w:val="none" w:sz="0" w:space="0" w:color="auto"/>
      </w:divBdr>
    </w:div>
    <w:div w:id="1152522134">
      <w:bodyDiv w:val="1"/>
      <w:marLeft w:val="0"/>
      <w:marRight w:val="0"/>
      <w:marTop w:val="0"/>
      <w:marBottom w:val="0"/>
      <w:divBdr>
        <w:top w:val="none" w:sz="0" w:space="0" w:color="auto"/>
        <w:left w:val="none" w:sz="0" w:space="0" w:color="auto"/>
        <w:bottom w:val="none" w:sz="0" w:space="0" w:color="auto"/>
        <w:right w:val="none" w:sz="0" w:space="0" w:color="auto"/>
      </w:divBdr>
    </w:div>
    <w:div w:id="1212615524">
      <w:bodyDiv w:val="1"/>
      <w:marLeft w:val="0"/>
      <w:marRight w:val="0"/>
      <w:marTop w:val="0"/>
      <w:marBottom w:val="0"/>
      <w:divBdr>
        <w:top w:val="none" w:sz="0" w:space="0" w:color="auto"/>
        <w:left w:val="none" w:sz="0" w:space="0" w:color="auto"/>
        <w:bottom w:val="none" w:sz="0" w:space="0" w:color="auto"/>
        <w:right w:val="none" w:sz="0" w:space="0" w:color="auto"/>
      </w:divBdr>
    </w:div>
    <w:div w:id="1293634771">
      <w:bodyDiv w:val="1"/>
      <w:marLeft w:val="0"/>
      <w:marRight w:val="0"/>
      <w:marTop w:val="0"/>
      <w:marBottom w:val="0"/>
      <w:divBdr>
        <w:top w:val="none" w:sz="0" w:space="0" w:color="auto"/>
        <w:left w:val="none" w:sz="0" w:space="0" w:color="auto"/>
        <w:bottom w:val="none" w:sz="0" w:space="0" w:color="auto"/>
        <w:right w:val="none" w:sz="0" w:space="0" w:color="auto"/>
      </w:divBdr>
    </w:div>
    <w:div w:id="1839953260">
      <w:bodyDiv w:val="1"/>
      <w:marLeft w:val="0"/>
      <w:marRight w:val="0"/>
      <w:marTop w:val="0"/>
      <w:marBottom w:val="0"/>
      <w:divBdr>
        <w:top w:val="none" w:sz="0" w:space="0" w:color="auto"/>
        <w:left w:val="none" w:sz="0" w:space="0" w:color="auto"/>
        <w:bottom w:val="none" w:sz="0" w:space="0" w:color="auto"/>
        <w:right w:val="none" w:sz="0" w:space="0" w:color="auto"/>
      </w:divBdr>
    </w:div>
    <w:div w:id="1844936221">
      <w:bodyDiv w:val="1"/>
      <w:marLeft w:val="0"/>
      <w:marRight w:val="0"/>
      <w:marTop w:val="0"/>
      <w:marBottom w:val="0"/>
      <w:divBdr>
        <w:top w:val="none" w:sz="0" w:space="0" w:color="auto"/>
        <w:left w:val="none" w:sz="0" w:space="0" w:color="auto"/>
        <w:bottom w:val="none" w:sz="0" w:space="0" w:color="auto"/>
        <w:right w:val="none" w:sz="0" w:space="0" w:color="auto"/>
      </w:divBdr>
    </w:div>
    <w:div w:id="20122495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leks.com/k12" TargetMode="External"/><Relationship Id="rId2" Type="http://schemas.openxmlformats.org/officeDocument/2006/relationships/hyperlink" Target="https://www.strongmind.com/assets/Inspire%20Adds%20StrongMind%20Curriculum.pdf" TargetMode="External"/><Relationship Id="rId3" Type="http://schemas.openxmlformats.org/officeDocument/2006/relationships/hyperlink" Target="http://magicvalley.com/news/local/education/virtual-high-school-enrolling-students/article_aa32f1cf-ea46-5eb4-ac8b-6421fda270d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15</Pages>
  <Words>2614</Words>
  <Characters>14906</Characters>
  <Application>Microsoft Macintosh Word</Application>
  <DocSecurity>0</DocSecurity>
  <Lines>124</Lines>
  <Paragraphs>34</Paragraphs>
  <ScaleCrop>false</ScaleCrop>
  <Company/>
  <LinksUpToDate>false</LinksUpToDate>
  <CharactersWithSpaces>17486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2017-02-27T17:49:00Z</cp:lastPrinted>
  <dcterms:created xsi:type="dcterms:W3CDTF">2017-02-27T17:49:00Z</dcterms:created>
  <dcterms:modified xsi:type="dcterms:W3CDTF">2017-02-27T18:21:00Z</dcterms:modified>
</cp:coreProperties>
</file>